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E7031" w14:textId="77777777" w:rsidR="0084325E" w:rsidRDefault="00000000">
      <w:pPr>
        <w:pBdr>
          <w:top w:val="nil"/>
          <w:left w:val="nil"/>
          <w:bottom w:val="nil"/>
          <w:right w:val="nil"/>
          <w:between w:val="nil"/>
        </w:pBdr>
        <w:spacing w:before="120" w:after="120" w:line="240" w:lineRule="auto"/>
        <w:ind w:right="120"/>
        <w:jc w:val="center"/>
        <w:rPr>
          <w:color w:val="000000"/>
          <w:sz w:val="24"/>
          <w:szCs w:val="24"/>
        </w:rPr>
      </w:pPr>
      <w:r>
        <w:rPr>
          <w:b/>
          <w:bCs/>
          <w:color w:val="000000"/>
          <w:sz w:val="24"/>
          <w:szCs w:val="24"/>
        </w:rPr>
        <w:t>EDITAL DE CHAMAMENTO PÚBLICO Nº 00</w:t>
      </w:r>
      <w:r>
        <w:rPr>
          <w:b/>
          <w:bCs/>
          <w:sz w:val="24"/>
          <w:szCs w:val="24"/>
        </w:rPr>
        <w:t>2</w:t>
      </w:r>
      <w:r>
        <w:rPr>
          <w:b/>
          <w:bCs/>
          <w:color w:val="000000"/>
          <w:sz w:val="24"/>
          <w:szCs w:val="24"/>
        </w:rPr>
        <w:t>/2026</w:t>
      </w:r>
    </w:p>
    <w:p w14:paraId="7992FD36" w14:textId="77777777" w:rsidR="0084325E" w:rsidRDefault="00000000">
      <w:pPr>
        <w:pBdr>
          <w:top w:val="nil"/>
          <w:left w:val="nil"/>
          <w:bottom w:val="nil"/>
          <w:right w:val="nil"/>
          <w:between w:val="nil"/>
        </w:pBdr>
        <w:spacing w:before="120" w:after="120" w:line="240" w:lineRule="auto"/>
        <w:ind w:left="120" w:right="120"/>
        <w:jc w:val="center"/>
        <w:rPr>
          <w:color w:val="000000"/>
          <w:sz w:val="24"/>
          <w:szCs w:val="24"/>
        </w:rPr>
      </w:pPr>
      <w:r>
        <w:rPr>
          <w:b/>
          <w:bCs/>
          <w:color w:val="000000"/>
          <w:sz w:val="24"/>
          <w:szCs w:val="24"/>
        </w:rPr>
        <w:t>SELEÇÃO DE</w:t>
      </w:r>
      <w:r>
        <w:rPr>
          <w:b/>
          <w:bCs/>
          <w:sz w:val="24"/>
          <w:szCs w:val="24"/>
        </w:rPr>
        <w:t xml:space="preserve"> OFICINA</w:t>
      </w:r>
      <w:r>
        <w:rPr>
          <w:b/>
          <w:bCs/>
          <w:color w:val="000000"/>
          <w:sz w:val="24"/>
          <w:szCs w:val="24"/>
        </w:rPr>
        <w:t xml:space="preserve"> PARA FIRMAR TERMO DE EXECUÇÃO CULTURAL COM RECURSOS DA POLÍTICA NACIONAL ALDIR BLANC DE FOMENTO À CULTURA – PNAB (LEI Nº 14.399/2022)</w:t>
      </w:r>
    </w:p>
    <w:p w14:paraId="1708F2BC" w14:textId="77777777" w:rsidR="0084325E" w:rsidRDefault="00000000">
      <w:pPr>
        <w:pBdr>
          <w:top w:val="nil"/>
          <w:left w:val="nil"/>
          <w:bottom w:val="nil"/>
          <w:right w:val="nil"/>
          <w:between w:val="nil"/>
        </w:pBdr>
        <w:spacing w:before="120" w:after="120" w:line="240" w:lineRule="auto"/>
        <w:ind w:left="120" w:right="120"/>
        <w:jc w:val="center"/>
        <w:rPr>
          <w:color w:val="000000"/>
          <w:sz w:val="24"/>
          <w:szCs w:val="24"/>
        </w:rPr>
      </w:pPr>
      <w:r>
        <w:rPr>
          <w:color w:val="000000"/>
          <w:sz w:val="24"/>
          <w:szCs w:val="24"/>
        </w:rPr>
        <w:t> </w:t>
      </w:r>
    </w:p>
    <w:p w14:paraId="4D54E259" w14:textId="50B1115C" w:rsidR="0084325E" w:rsidRDefault="00000000">
      <w:pPr>
        <w:spacing w:after="0" w:line="240" w:lineRule="auto"/>
        <w:jc w:val="both"/>
        <w:rPr>
          <w:color w:val="000000"/>
          <w:sz w:val="24"/>
          <w:szCs w:val="24"/>
        </w:rPr>
      </w:pPr>
      <w:r>
        <w:rPr>
          <w:color w:val="000000"/>
          <w:sz w:val="24"/>
          <w:szCs w:val="24"/>
        </w:rPr>
        <w:t>Olá, agentes culturais</w:t>
      </w:r>
      <w:r w:rsidR="00441E8D">
        <w:rPr>
          <w:color w:val="000000"/>
          <w:sz w:val="24"/>
          <w:szCs w:val="24"/>
        </w:rPr>
        <w:t xml:space="preserve"> </w:t>
      </w:r>
      <w:r>
        <w:rPr>
          <w:color w:val="000000"/>
          <w:sz w:val="24"/>
          <w:szCs w:val="24"/>
        </w:rPr>
        <w:t xml:space="preserve">de Mariluz e do Distrito de São Luiz! Estamos muito felizes com o seu interesse em participar deste chamamento público. </w:t>
      </w:r>
    </w:p>
    <w:p w14:paraId="4C7C582F" w14:textId="77777777" w:rsidR="0084325E" w:rsidRDefault="00000000">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94FD379" w14:textId="77777777" w:rsidR="0084325E" w:rsidRDefault="00000000">
      <w:pPr>
        <w:spacing w:after="0" w:line="240" w:lineRule="auto"/>
        <w:jc w:val="both"/>
        <w:rPr>
          <w:color w:val="000000"/>
          <w:sz w:val="24"/>
          <w:szCs w:val="24"/>
        </w:rPr>
      </w:pPr>
      <w:r>
        <w:rPr>
          <w:color w:val="000000"/>
          <w:sz w:val="24"/>
          <w:szCs w:val="24"/>
        </w:rPr>
        <w:t>Boa leitura. Desejamos sucesso!</w:t>
      </w:r>
    </w:p>
    <w:p w14:paraId="66709EF9" w14:textId="77777777" w:rsidR="0084325E" w:rsidRDefault="0084325E">
      <w:pPr>
        <w:spacing w:after="0" w:line="240" w:lineRule="auto"/>
        <w:jc w:val="both"/>
        <w:rPr>
          <w:b/>
          <w:bCs/>
          <w:color w:val="000000"/>
          <w:sz w:val="24"/>
          <w:szCs w:val="24"/>
        </w:rPr>
      </w:pPr>
    </w:p>
    <w:p w14:paraId="098FA461" w14:textId="77777777" w:rsidR="0084325E" w:rsidRDefault="00000000">
      <w:pPr>
        <w:numPr>
          <w:ilvl w:val="0"/>
          <w:numId w:val="1"/>
        </w:numPr>
        <w:pBdr>
          <w:top w:val="nil"/>
          <w:left w:val="nil"/>
          <w:bottom w:val="nil"/>
          <w:right w:val="nil"/>
          <w:between w:val="nil"/>
        </w:pBdr>
        <w:spacing w:after="0" w:line="240" w:lineRule="auto"/>
        <w:jc w:val="both"/>
        <w:rPr>
          <w:b/>
          <w:bCs/>
          <w:color w:val="000000"/>
          <w:sz w:val="24"/>
          <w:szCs w:val="24"/>
        </w:rPr>
      </w:pPr>
      <w:r>
        <w:rPr>
          <w:b/>
          <w:bCs/>
          <w:color w:val="000000"/>
          <w:sz w:val="24"/>
          <w:szCs w:val="24"/>
        </w:rPr>
        <w:t>POLÍTICA NACIONAL ALDIR BLANC DE FOMENTO À CULTURA</w:t>
      </w:r>
    </w:p>
    <w:p w14:paraId="66A1E29F"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6B7FCF3E"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 PNAB objetiva também estruturar o sistema federativo de financiamento à cultura mediante repasses da União aos Estados, Distrito Federal e Municípios de forma continuada. </w:t>
      </w:r>
    </w:p>
    <w:p w14:paraId="213E636E"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condições para a execução da PNAB foram criadas por meio do engajamento da sociedade, e o presente edital destina-se a apoiar projetos apresentados pelos agentes culturais do Município de Mariluz – PR.</w:t>
      </w:r>
    </w:p>
    <w:p w14:paraId="717927A2"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Deste modo, a Prefeitura Municipal </w:t>
      </w:r>
      <w:r>
        <w:rPr>
          <w:sz w:val="24"/>
          <w:szCs w:val="24"/>
        </w:rPr>
        <w:t>juntamente</w:t>
      </w:r>
      <w:r>
        <w:rPr>
          <w:color w:val="000000"/>
          <w:sz w:val="24"/>
          <w:szCs w:val="24"/>
        </w:rPr>
        <w:t xml:space="preserve"> com o Departamento de Cultura torna público o presente edital elaborado com base na </w:t>
      </w:r>
      <w:hyperlink r:id="rId8" w:anchor=":~:text=1%C2%BA%20Esta%20Lei%20institui%20a,acesso%20%C3%A0%20cultura%20no%20Brasil.">
        <w:r>
          <w:rPr>
            <w:color w:val="0000FF"/>
            <w:sz w:val="24"/>
            <w:szCs w:val="24"/>
            <w:u w:val="single"/>
          </w:rPr>
          <w:t>Lei nº 14.399/2022</w:t>
        </w:r>
      </w:hyperlink>
      <w:r>
        <w:rPr>
          <w:color w:val="000000"/>
          <w:sz w:val="24"/>
          <w:szCs w:val="24"/>
        </w:rPr>
        <w:t xml:space="preserve"> (Lei PNAB), na </w:t>
      </w:r>
      <w:hyperlink r:id="rId9">
        <w:r>
          <w:rPr>
            <w:color w:val="0000FF"/>
            <w:sz w:val="24"/>
            <w:szCs w:val="24"/>
            <w:u w:val="single"/>
          </w:rPr>
          <w:t>Lei nº 14.903/2024</w:t>
        </w:r>
      </w:hyperlink>
      <w:r>
        <w:rPr>
          <w:color w:val="000000"/>
          <w:sz w:val="24"/>
          <w:szCs w:val="24"/>
        </w:rPr>
        <w:t xml:space="preserve"> (Marco regulatório do fomento à cultura), no </w:t>
      </w:r>
      <w:hyperlink r:id="rId10" w:anchor=":~:text=%C3%89%20obrigat%C3%B3ria%20a%20exibi%C3%A7%C3%A3o%20das,de%20a%C3%A7%C3%B5es%20relativas%20%C3%A0%20Pol%C3%ADtica%2C">
        <w:r>
          <w:rPr>
            <w:color w:val="0000FF"/>
            <w:sz w:val="24"/>
            <w:szCs w:val="24"/>
            <w:u w:val="single"/>
          </w:rPr>
          <w:t>Decreto nº 11.740/2023</w:t>
        </w:r>
      </w:hyperlink>
      <w:r>
        <w:rPr>
          <w:color w:val="000000"/>
          <w:sz w:val="24"/>
          <w:szCs w:val="24"/>
        </w:rPr>
        <w:t xml:space="preserve"> (Decreto PNAB), no </w:t>
      </w:r>
      <w:hyperlink r:id="rId11">
        <w:r>
          <w:rPr>
            <w:color w:val="0000FF"/>
            <w:sz w:val="24"/>
            <w:szCs w:val="24"/>
            <w:u w:val="single"/>
          </w:rPr>
          <w:t>Decreto nº 11.453/2023 (Decreto de Fomento)</w:t>
        </w:r>
      </w:hyperlink>
      <w:r>
        <w:rPr>
          <w:color w:val="000000"/>
          <w:sz w:val="24"/>
          <w:szCs w:val="24"/>
        </w:rPr>
        <w:t xml:space="preserve"> e na </w:t>
      </w:r>
      <w:hyperlink r:id="rId12">
        <w:r>
          <w:rPr>
            <w:color w:val="0000FF"/>
            <w:sz w:val="24"/>
            <w:szCs w:val="24"/>
            <w:u w:val="single"/>
          </w:rPr>
          <w:t>Instrução Normativa MINC nº 10/2023</w:t>
        </w:r>
      </w:hyperlink>
      <w:r>
        <w:rPr>
          <w:color w:val="000000"/>
          <w:sz w:val="24"/>
          <w:szCs w:val="24"/>
        </w:rPr>
        <w:t xml:space="preserve"> (IN PNAB de Ações Afirmativas e Acessibilidade).</w:t>
      </w:r>
    </w:p>
    <w:p w14:paraId="4FF2664A"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w:t>
      </w:r>
    </w:p>
    <w:p w14:paraId="214B0937"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 xml:space="preserve">INFORMAÇÕES GERAIS </w:t>
      </w:r>
    </w:p>
    <w:p w14:paraId="56AD3EC6"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Objeto do edital</w:t>
      </w:r>
    </w:p>
    <w:p w14:paraId="4F4E09D2" w14:textId="77777777" w:rsidR="0084325E" w:rsidRDefault="00000000">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O objeto deste Edital é a seleção de </w:t>
      </w:r>
      <w:r>
        <w:rPr>
          <w:sz w:val="24"/>
          <w:szCs w:val="24"/>
        </w:rPr>
        <w:t>uma oficina de violão</w:t>
      </w:r>
      <w:r>
        <w:rPr>
          <w:color w:val="000000"/>
          <w:sz w:val="24"/>
          <w:szCs w:val="24"/>
        </w:rPr>
        <w:t xml:space="preserve"> para receber apoio financeiro com o objetivo de incentivar as diversas formas de manifestações culturais do Município de Mariluz – PR.</w:t>
      </w:r>
    </w:p>
    <w:p w14:paraId="7FDB9999" w14:textId="77777777" w:rsidR="0084325E" w:rsidRDefault="0084325E">
      <w:pPr>
        <w:pBdr>
          <w:top w:val="nil"/>
          <w:left w:val="nil"/>
          <w:bottom w:val="nil"/>
          <w:right w:val="nil"/>
          <w:between w:val="nil"/>
        </w:pBdr>
        <w:spacing w:before="120" w:after="120" w:line="240" w:lineRule="auto"/>
        <w:ind w:left="360" w:right="120"/>
        <w:jc w:val="both"/>
        <w:rPr>
          <w:color w:val="FF0000"/>
          <w:sz w:val="24"/>
          <w:szCs w:val="24"/>
        </w:rPr>
      </w:pPr>
    </w:p>
    <w:p w14:paraId="26A07A65"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Quantidade de projetos selecionados</w:t>
      </w:r>
    </w:p>
    <w:p w14:paraId="7584393F"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Ser</w:t>
      </w:r>
      <w:r>
        <w:rPr>
          <w:sz w:val="24"/>
          <w:szCs w:val="24"/>
        </w:rPr>
        <w:t>á</w:t>
      </w:r>
      <w:r>
        <w:rPr>
          <w:color w:val="000000"/>
          <w:sz w:val="24"/>
          <w:szCs w:val="24"/>
        </w:rPr>
        <w:t xml:space="preserve"> selecionad</w:t>
      </w:r>
      <w:r>
        <w:rPr>
          <w:sz w:val="24"/>
          <w:szCs w:val="24"/>
        </w:rPr>
        <w:t>o um</w:t>
      </w:r>
      <w:r>
        <w:rPr>
          <w:color w:val="000000"/>
          <w:sz w:val="24"/>
          <w:szCs w:val="24"/>
        </w:rPr>
        <w:t xml:space="preserve"> projeto, </w:t>
      </w:r>
      <w:r>
        <w:rPr>
          <w:sz w:val="24"/>
          <w:szCs w:val="24"/>
        </w:rPr>
        <w:t>descrito no</w:t>
      </w:r>
      <w:r>
        <w:rPr>
          <w:color w:val="000000"/>
          <w:sz w:val="24"/>
          <w:szCs w:val="24"/>
        </w:rPr>
        <w:t xml:space="preserve"> Anexo I.</w:t>
      </w:r>
    </w:p>
    <w:p w14:paraId="6C952DCE"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14:paraId="320B24DC" w14:textId="77777777" w:rsidR="0084325E" w:rsidRDefault="0084325E">
      <w:pPr>
        <w:pBdr>
          <w:top w:val="nil"/>
          <w:left w:val="nil"/>
          <w:bottom w:val="nil"/>
          <w:right w:val="nil"/>
          <w:between w:val="nil"/>
        </w:pBdr>
        <w:spacing w:before="120" w:after="120" w:line="240" w:lineRule="auto"/>
        <w:ind w:left="360" w:right="120"/>
        <w:jc w:val="both"/>
        <w:rPr>
          <w:color w:val="000000"/>
          <w:sz w:val="24"/>
          <w:szCs w:val="24"/>
        </w:rPr>
      </w:pPr>
    </w:p>
    <w:p w14:paraId="7091CA7C"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Valor total do edital</w:t>
      </w:r>
    </w:p>
    <w:p w14:paraId="2411EA97"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sz w:val="24"/>
          <w:szCs w:val="24"/>
        </w:rPr>
        <w:t>O</w:t>
      </w:r>
      <w:r>
        <w:rPr>
          <w:color w:val="000000"/>
          <w:sz w:val="24"/>
          <w:szCs w:val="24"/>
        </w:rPr>
        <w:t xml:space="preserve"> projeto receberá o valor descrito no Anexo I.</w:t>
      </w:r>
    </w:p>
    <w:p w14:paraId="5E6159ED" w14:textId="77777777" w:rsidR="0084325E" w:rsidRDefault="00000000">
      <w:pPr>
        <w:pBdr>
          <w:top w:val="nil"/>
          <w:left w:val="nil"/>
          <w:bottom w:val="nil"/>
          <w:right w:val="nil"/>
          <w:between w:val="nil"/>
        </w:pBdr>
        <w:spacing w:before="120" w:after="120" w:line="240" w:lineRule="auto"/>
        <w:ind w:right="120"/>
        <w:jc w:val="both"/>
        <w:rPr>
          <w:sz w:val="24"/>
          <w:szCs w:val="24"/>
        </w:rPr>
      </w:pPr>
      <w:r>
        <w:rPr>
          <w:color w:val="000000"/>
          <w:sz w:val="24"/>
          <w:szCs w:val="24"/>
        </w:rPr>
        <w:t xml:space="preserve">O valor total deste edital é de </w:t>
      </w:r>
      <w:r>
        <w:rPr>
          <w:sz w:val="24"/>
          <w:szCs w:val="24"/>
        </w:rPr>
        <w:t>R$ 5.300,00 (cinco mil e trezentos reais)</w:t>
      </w:r>
    </w:p>
    <w:p w14:paraId="57C3C658"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 despesa correrá à conta da seguinte Dotação Orçamentária: </w:t>
      </w:r>
    </w:p>
    <w:p w14:paraId="7BE45CFD" w14:textId="77777777" w:rsidR="0084325E" w:rsidRDefault="00000000">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Sobre o valor total repassado pelo Município de Mariluz do Estado do Paraná ao agente cultural, não incidirá Imposto de Renda, Imposto Sobre Serviços – ISS, e eventuais impostos próprios da contratação de serviços.</w:t>
      </w:r>
    </w:p>
    <w:p w14:paraId="02D05ECF"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Prazo de inscrição</w:t>
      </w:r>
    </w:p>
    <w:p w14:paraId="0ED1D949"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sz w:val="24"/>
          <w:szCs w:val="24"/>
        </w:rPr>
        <w:t xml:space="preserve">As inscrições estarão abertas por </w:t>
      </w:r>
      <w:r>
        <w:rPr>
          <w:b/>
          <w:bCs/>
          <w:sz w:val="24"/>
          <w:szCs w:val="24"/>
        </w:rPr>
        <w:t>10 dias corridos</w:t>
      </w:r>
      <w:r>
        <w:rPr>
          <w:sz w:val="24"/>
          <w:szCs w:val="24"/>
        </w:rPr>
        <w:t>, a contar o primeiro dia após a publicação deste edital</w:t>
      </w:r>
      <w:r>
        <w:rPr>
          <w:color w:val="000000"/>
          <w:sz w:val="24"/>
          <w:szCs w:val="24"/>
        </w:rPr>
        <w:t>.</w:t>
      </w:r>
    </w:p>
    <w:p w14:paraId="23896DD6"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As inscrições serão realizadas conforme orientações descritas no item 4 deste edital.</w:t>
      </w:r>
    </w:p>
    <w:p w14:paraId="6A476A94"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Quem pode participar</w:t>
      </w:r>
    </w:p>
    <w:p w14:paraId="50D0A6AD" w14:textId="33F3E05F" w:rsidR="0084325E" w:rsidRDefault="00000000">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Pode se inscrever no edital qualquer agente cultural que atue ou resida no Município de Mariluz – PR ou há, pelo menos, 01 (um) ano.</w:t>
      </w:r>
    </w:p>
    <w:p w14:paraId="6F971ECD" w14:textId="77777777" w:rsidR="0084325E" w:rsidRDefault="00000000">
      <w:pPr>
        <w:spacing w:after="0"/>
        <w:jc w:val="both"/>
        <w:rPr>
          <w:color w:val="000000"/>
          <w:sz w:val="24"/>
          <w:szCs w:val="24"/>
        </w:rPr>
      </w:pPr>
      <w:r>
        <w:rPr>
          <w:b/>
          <w:bCs/>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3858427"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O agente cultural pode ser:</w:t>
      </w:r>
    </w:p>
    <w:p w14:paraId="042B9261"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I - Pessoa física ou Microempreendedor Individual (MEI)</w:t>
      </w:r>
    </w:p>
    <w:p w14:paraId="169B4E49"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 xml:space="preserve">II - Pessoa jurídica com fins lucrativos (Ex.: empresa de pequeno porte, empresa de grande porte, </w:t>
      </w:r>
      <w:proofErr w:type="spellStart"/>
      <w:r>
        <w:rPr>
          <w:color w:val="000000"/>
          <w:sz w:val="24"/>
          <w:szCs w:val="24"/>
        </w:rPr>
        <w:t>etc</w:t>
      </w:r>
      <w:proofErr w:type="spellEnd"/>
      <w:r>
        <w:rPr>
          <w:color w:val="000000"/>
          <w:sz w:val="24"/>
          <w:szCs w:val="24"/>
        </w:rPr>
        <w:t>)</w:t>
      </w:r>
    </w:p>
    <w:p w14:paraId="5F16FF17"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 xml:space="preserve">III - Pessoa jurídica sem fins lucrativos (Ex.: Associação, Fundação, cooperativa, </w:t>
      </w:r>
      <w:proofErr w:type="spellStart"/>
      <w:r>
        <w:rPr>
          <w:color w:val="000000"/>
          <w:sz w:val="24"/>
          <w:szCs w:val="24"/>
        </w:rPr>
        <w:t>etc</w:t>
      </w:r>
      <w:proofErr w:type="spellEnd"/>
      <w:r>
        <w:rPr>
          <w:color w:val="000000"/>
          <w:sz w:val="24"/>
          <w:szCs w:val="24"/>
        </w:rPr>
        <w:t>)</w:t>
      </w:r>
    </w:p>
    <w:p w14:paraId="1044F485"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IV - Coletivo/Grupo sem CNPJ representado por pessoa física.</w:t>
      </w:r>
    </w:p>
    <w:p w14:paraId="406539A7"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0661A35F"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w:t>
      </w:r>
    </w:p>
    <w:p w14:paraId="6AC535F9"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Quem NÃO pode participar</w:t>
      </w:r>
    </w:p>
    <w:p w14:paraId="2AB46FB8"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Não pode se inscrever neste Edital, agentes culturais que: </w:t>
      </w:r>
    </w:p>
    <w:p w14:paraId="672EACCC"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lastRenderedPageBreak/>
        <w:t>I - Tenham participado diretamente da etapa de elaboração do edital, da etapa de análise de propostas ou da etapa de julgamento de recursos;</w:t>
      </w:r>
    </w:p>
    <w:p w14:paraId="04A80ED7"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3E4E03D4"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51F5BEEC"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 xml:space="preserve">Atenção! </w:t>
      </w:r>
      <w:r>
        <w:rPr>
          <w:color w:val="000000"/>
          <w:sz w:val="24"/>
          <w:szCs w:val="24"/>
        </w:rPr>
        <w:t xml:space="preserve">O agente cultural que </w:t>
      </w:r>
      <w:r>
        <w:rPr>
          <w:sz w:val="24"/>
          <w:szCs w:val="24"/>
        </w:rPr>
        <w:t>integrar o Conselho</w:t>
      </w:r>
      <w:r>
        <w:rPr>
          <w:color w:val="000000"/>
          <w:sz w:val="24"/>
          <w:szCs w:val="24"/>
        </w:rPr>
        <w:t xml:space="preserve"> de Cultura somente ficará impossibilitado de concorrer neste Edital quando se enquadrar nas vedações previstas no item 2.6. </w:t>
      </w:r>
    </w:p>
    <w:p w14:paraId="5BAA3495"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2BB01198"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1C9FC96A" w14:textId="77777777" w:rsidR="0084325E" w:rsidRDefault="0084325E">
      <w:pPr>
        <w:pBdr>
          <w:top w:val="nil"/>
          <w:left w:val="nil"/>
          <w:bottom w:val="nil"/>
          <w:right w:val="nil"/>
          <w:between w:val="nil"/>
        </w:pBdr>
        <w:spacing w:before="120" w:after="120" w:line="240" w:lineRule="auto"/>
        <w:ind w:right="120"/>
        <w:jc w:val="both"/>
        <w:rPr>
          <w:b/>
          <w:bCs/>
          <w:color w:val="000000"/>
          <w:sz w:val="24"/>
          <w:szCs w:val="24"/>
        </w:rPr>
      </w:pPr>
    </w:p>
    <w:p w14:paraId="38FEAF24"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Quantos projetos cada agente cultural pode apresentar neste edital</w:t>
      </w:r>
    </w:p>
    <w:p w14:paraId="1D91C46F" w14:textId="48D237EC" w:rsidR="0084325E" w:rsidRDefault="00000000">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Cada agente cultural poderá concorrer neste edital com, no máximo </w:t>
      </w:r>
      <w:r>
        <w:rPr>
          <w:b/>
          <w:bCs/>
          <w:color w:val="000000"/>
          <w:sz w:val="24"/>
          <w:szCs w:val="24"/>
        </w:rPr>
        <w:t>0</w:t>
      </w:r>
      <w:r w:rsidR="00E9301F">
        <w:rPr>
          <w:b/>
          <w:bCs/>
          <w:color w:val="000000"/>
          <w:sz w:val="24"/>
          <w:szCs w:val="24"/>
        </w:rPr>
        <w:t>1</w:t>
      </w:r>
      <w:r>
        <w:rPr>
          <w:b/>
          <w:bCs/>
          <w:color w:val="000000"/>
          <w:sz w:val="24"/>
          <w:szCs w:val="24"/>
        </w:rPr>
        <w:t xml:space="preserve"> (</w:t>
      </w:r>
      <w:r w:rsidR="00E9301F">
        <w:rPr>
          <w:b/>
          <w:bCs/>
          <w:color w:val="000000"/>
          <w:sz w:val="24"/>
          <w:szCs w:val="24"/>
        </w:rPr>
        <w:t>um</w:t>
      </w:r>
      <w:r>
        <w:rPr>
          <w:b/>
          <w:bCs/>
          <w:color w:val="000000"/>
          <w:sz w:val="24"/>
          <w:szCs w:val="24"/>
        </w:rPr>
        <w:t>) projeto</w:t>
      </w:r>
      <w:r w:rsidR="00E9301F">
        <w:rPr>
          <w:b/>
          <w:bCs/>
          <w:color w:val="000000"/>
          <w:sz w:val="24"/>
          <w:szCs w:val="24"/>
        </w:rPr>
        <w:t xml:space="preserve"> </w:t>
      </w:r>
      <w:r>
        <w:rPr>
          <w:color w:val="000000"/>
          <w:sz w:val="24"/>
          <w:szCs w:val="24"/>
        </w:rPr>
        <w:t xml:space="preserve">e poderá ser contemplado com no máximo </w:t>
      </w:r>
      <w:r>
        <w:rPr>
          <w:b/>
          <w:bCs/>
          <w:sz w:val="24"/>
          <w:szCs w:val="24"/>
        </w:rPr>
        <w:t>01</w:t>
      </w:r>
      <w:r>
        <w:rPr>
          <w:b/>
          <w:bCs/>
          <w:color w:val="000000"/>
          <w:sz w:val="24"/>
          <w:szCs w:val="24"/>
        </w:rPr>
        <w:t xml:space="preserve"> (</w:t>
      </w:r>
      <w:r>
        <w:rPr>
          <w:b/>
          <w:bCs/>
          <w:sz w:val="24"/>
          <w:szCs w:val="24"/>
        </w:rPr>
        <w:t>um</w:t>
      </w:r>
      <w:r>
        <w:rPr>
          <w:b/>
          <w:bCs/>
          <w:color w:val="000000"/>
          <w:sz w:val="24"/>
          <w:szCs w:val="24"/>
        </w:rPr>
        <w:t>) projeto</w:t>
      </w:r>
      <w:r>
        <w:rPr>
          <w:color w:val="000000"/>
          <w:sz w:val="24"/>
          <w:szCs w:val="24"/>
        </w:rPr>
        <w:t>.</w:t>
      </w:r>
    </w:p>
    <w:p w14:paraId="7C298D51"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ETAPAS</w:t>
      </w:r>
    </w:p>
    <w:p w14:paraId="611F6911"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14:paraId="0D0E88C5" w14:textId="77777777" w:rsidR="0084325E" w:rsidRDefault="00000000">
      <w:pPr>
        <w:numPr>
          <w:ilvl w:val="0"/>
          <w:numId w:val="2"/>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 xml:space="preserve">Inscrições – </w:t>
      </w:r>
      <w:r>
        <w:rPr>
          <w:color w:val="000000"/>
          <w:sz w:val="24"/>
          <w:szCs w:val="24"/>
        </w:rPr>
        <w:t>etapa de apresentação dos projetos pelos agentes culturais</w:t>
      </w:r>
    </w:p>
    <w:p w14:paraId="01A1AE02" w14:textId="77777777" w:rsidR="0084325E" w:rsidRDefault="00000000">
      <w:pPr>
        <w:numPr>
          <w:ilvl w:val="0"/>
          <w:numId w:val="2"/>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Seleção –</w:t>
      </w:r>
      <w:r>
        <w:rPr>
          <w:color w:val="000000"/>
          <w:sz w:val="24"/>
          <w:szCs w:val="24"/>
        </w:rPr>
        <w:t xml:space="preserve"> etapa em que uma comissão analisa e seleciona os projetos</w:t>
      </w:r>
    </w:p>
    <w:p w14:paraId="329D3E4C" w14:textId="77777777" w:rsidR="0084325E" w:rsidRDefault="00000000">
      <w:pPr>
        <w:numPr>
          <w:ilvl w:val="0"/>
          <w:numId w:val="2"/>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14:paraId="556BAC98" w14:textId="77777777" w:rsidR="0084325E" w:rsidRDefault="00000000">
      <w:pPr>
        <w:numPr>
          <w:ilvl w:val="0"/>
          <w:numId w:val="2"/>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 xml:space="preserve">Assinatura do Termo de Execução Cultural </w:t>
      </w:r>
      <w:r>
        <w:rPr>
          <w:color w:val="000000"/>
          <w:sz w:val="24"/>
          <w:szCs w:val="24"/>
        </w:rPr>
        <w:t>– etapa em que os agentes culturais habilitados serão convocados para assinar o Termo de Execução Cultural</w:t>
      </w:r>
    </w:p>
    <w:p w14:paraId="1EC93766" w14:textId="77777777" w:rsidR="0084325E" w:rsidRDefault="0084325E">
      <w:pPr>
        <w:pBdr>
          <w:top w:val="nil"/>
          <w:left w:val="nil"/>
          <w:bottom w:val="nil"/>
          <w:right w:val="nil"/>
          <w:between w:val="nil"/>
        </w:pBdr>
        <w:spacing w:before="120" w:after="120" w:line="240" w:lineRule="auto"/>
        <w:ind w:right="120"/>
        <w:jc w:val="both"/>
        <w:rPr>
          <w:b/>
          <w:bCs/>
          <w:color w:val="000000"/>
          <w:sz w:val="24"/>
          <w:szCs w:val="24"/>
        </w:rPr>
      </w:pPr>
    </w:p>
    <w:p w14:paraId="285EFCB4"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INSCRIÇÕES</w:t>
      </w:r>
    </w:p>
    <w:p w14:paraId="5F114527" w14:textId="77777777" w:rsidR="0084325E" w:rsidRDefault="00000000">
      <w:pPr>
        <w:spacing w:before="120" w:after="120" w:line="240" w:lineRule="auto"/>
        <w:ind w:right="120"/>
        <w:jc w:val="both"/>
        <w:rPr>
          <w:sz w:val="24"/>
          <w:szCs w:val="24"/>
        </w:rPr>
      </w:pPr>
      <w:r>
        <w:rPr>
          <w:sz w:val="24"/>
          <w:szCs w:val="24"/>
        </w:rPr>
        <w:t xml:space="preserve">O agente cultural deve encaminhar sua inscrição por meio de por meio de formulário Google, no seguinte endereço </w:t>
      </w:r>
      <w:hyperlink r:id="rId13">
        <w:r>
          <w:rPr>
            <w:color w:val="3C78D8"/>
            <w:sz w:val="24"/>
            <w:szCs w:val="24"/>
            <w:u w:val="single"/>
          </w:rPr>
          <w:t>https://forms.gle/zP4LmKELoiHTQ7pR9</w:t>
        </w:r>
      </w:hyperlink>
      <w:r>
        <w:rPr>
          <w:sz w:val="24"/>
          <w:szCs w:val="24"/>
        </w:rPr>
        <w:t xml:space="preserve"> a seguinte documentação obrigatória, para cada inscrição:</w:t>
      </w:r>
    </w:p>
    <w:p w14:paraId="3496D91D" w14:textId="77777777" w:rsidR="0084325E" w:rsidRDefault="00000000">
      <w:pPr>
        <w:pBdr>
          <w:top w:val="nil"/>
          <w:left w:val="nil"/>
          <w:bottom w:val="nil"/>
          <w:right w:val="nil"/>
          <w:between w:val="nil"/>
        </w:pBdr>
        <w:spacing w:before="120" w:after="120" w:line="240" w:lineRule="auto"/>
        <w:ind w:right="120"/>
        <w:jc w:val="both"/>
        <w:rPr>
          <w:b/>
          <w:bCs/>
          <w:color w:val="000000"/>
          <w:sz w:val="24"/>
          <w:szCs w:val="24"/>
        </w:rPr>
      </w:pPr>
      <w:r>
        <w:rPr>
          <w:color w:val="000000"/>
          <w:sz w:val="24"/>
          <w:szCs w:val="24"/>
        </w:rPr>
        <w:t>a) Formulário de inscrição (Anexo II) que constitui o Plano de Trabalho (projeto); </w:t>
      </w:r>
    </w:p>
    <w:p w14:paraId="1A13EF40" w14:textId="77777777" w:rsidR="0084325E" w:rsidRDefault="00000000">
      <w:pPr>
        <w:pBdr>
          <w:top w:val="nil"/>
          <w:left w:val="nil"/>
          <w:bottom w:val="nil"/>
          <w:right w:val="nil"/>
          <w:between w:val="nil"/>
        </w:pBdr>
        <w:spacing w:before="120" w:after="120" w:line="240" w:lineRule="auto"/>
        <w:ind w:right="120"/>
        <w:jc w:val="both"/>
        <w:rPr>
          <w:b/>
          <w:bCs/>
          <w:sz w:val="24"/>
          <w:szCs w:val="24"/>
        </w:rPr>
      </w:pPr>
      <w:r>
        <w:rPr>
          <w:sz w:val="24"/>
          <w:szCs w:val="24"/>
        </w:rPr>
        <w:lastRenderedPageBreak/>
        <w:t>b) Portfólio reunindo registros para comprovação de atuação (fotos, vídeos, notas fiscais, contratos, postagens em redes sociais, relatórios...); </w:t>
      </w:r>
    </w:p>
    <w:p w14:paraId="09CE2932"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se for concorrer como um coletivo sem CNPJ, conforme Anexo III;</w:t>
      </w:r>
    </w:p>
    <w:p w14:paraId="450F0675"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d) Comprovante de cadastro do proponente no </w:t>
      </w:r>
      <w:proofErr w:type="spellStart"/>
      <w:r>
        <w:rPr>
          <w:sz w:val="24"/>
          <w:szCs w:val="24"/>
        </w:rPr>
        <w:t>SIC.Cultura</w:t>
      </w:r>
      <w:proofErr w:type="spellEnd"/>
      <w:r>
        <w:rPr>
          <w:sz w:val="24"/>
          <w:szCs w:val="24"/>
        </w:rPr>
        <w:t>, disponível em</w:t>
      </w:r>
    </w:p>
    <w:p w14:paraId="6C777F2F" w14:textId="77777777" w:rsidR="0084325E" w:rsidRDefault="00000000">
      <w:pPr>
        <w:spacing w:before="120" w:after="120" w:line="240" w:lineRule="auto"/>
        <w:ind w:right="120"/>
        <w:jc w:val="both"/>
        <w:rPr>
          <w:sz w:val="24"/>
          <w:szCs w:val="24"/>
        </w:rPr>
      </w:pPr>
      <w:hyperlink r:id="rId14">
        <w:r>
          <w:rPr>
            <w:color w:val="1155CC"/>
            <w:sz w:val="24"/>
            <w:szCs w:val="24"/>
            <w:u w:val="single"/>
          </w:rPr>
          <w:t>https://www.sic.cultura.pr.gov.br/</w:t>
        </w:r>
      </w:hyperlink>
      <w:r>
        <w:rPr>
          <w:sz w:val="24"/>
          <w:szCs w:val="24"/>
        </w:rPr>
        <w:t xml:space="preserve"> </w:t>
      </w:r>
    </w:p>
    <w:p w14:paraId="3F570F42"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e) Documento de identificação com foto (RG, CNH ou passaporte);</w:t>
      </w:r>
    </w:p>
    <w:p w14:paraId="09F12116" w14:textId="77777777" w:rsidR="0084325E" w:rsidRDefault="00000000">
      <w:pPr>
        <w:pBdr>
          <w:top w:val="nil"/>
          <w:left w:val="nil"/>
          <w:bottom w:val="nil"/>
          <w:right w:val="nil"/>
          <w:between w:val="nil"/>
        </w:pBdr>
        <w:spacing w:before="120" w:after="120" w:line="240" w:lineRule="auto"/>
        <w:ind w:right="120"/>
        <w:jc w:val="both"/>
        <w:rPr>
          <w:color w:val="FF0000"/>
          <w:sz w:val="24"/>
          <w:szCs w:val="24"/>
        </w:rPr>
      </w:pPr>
      <w:r>
        <w:rPr>
          <w:sz w:val="24"/>
          <w:szCs w:val="24"/>
        </w:rPr>
        <w:t xml:space="preserve">f) </w:t>
      </w:r>
      <w:r>
        <w:rPr>
          <w:color w:val="000000"/>
          <w:sz w:val="24"/>
          <w:szCs w:val="24"/>
        </w:rPr>
        <w:t>Outros documentos que o agente cultural julgar necessário para auxiliar na avaliação do mérito cultural do projeto. </w:t>
      </w:r>
      <w:r>
        <w:rPr>
          <w:color w:val="FF0000"/>
          <w:sz w:val="24"/>
          <w:szCs w:val="24"/>
        </w:rPr>
        <w:t xml:space="preserve"> </w:t>
      </w:r>
    </w:p>
    <w:p w14:paraId="028EEEC3"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Atenção!</w:t>
      </w:r>
      <w:r>
        <w:rPr>
          <w:color w:val="000000"/>
          <w:sz w:val="24"/>
          <w:szCs w:val="24"/>
        </w:rPr>
        <w:t xml:space="preserve"> O agente cultural é responsável pelo envio dos documentos e pela qualidade visual, conteúdo dos arquivos e informações de seu projeto. </w:t>
      </w:r>
    </w:p>
    <w:p w14:paraId="406A50EF"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Atenção!</w:t>
      </w:r>
      <w:r>
        <w:rPr>
          <w:color w:val="000000"/>
          <w:sz w:val="24"/>
          <w:szCs w:val="24"/>
        </w:rPr>
        <w:t xml:space="preserve"> A inscrição implica no conhecimento e concordância dos termos e condições previstos neste Edital, na Lei 14.399/2022 (Política Nacional Aldir Blanc de Fomento à Cultura - PNAB), na Lei nº 14.903/2024 (Marco regulatório de fomento à cultura), no Decreto 11.740/2023 (Decreto PNAB) e no Decreto nº 11.453/2023 (Decreto de fomento).</w:t>
      </w:r>
    </w:p>
    <w:p w14:paraId="49AFAD1A" w14:textId="77777777" w:rsidR="0084325E" w:rsidRDefault="0084325E">
      <w:pPr>
        <w:pBdr>
          <w:top w:val="nil"/>
          <w:left w:val="nil"/>
          <w:bottom w:val="nil"/>
          <w:right w:val="nil"/>
          <w:between w:val="nil"/>
        </w:pBdr>
        <w:spacing w:before="120" w:after="120" w:line="240" w:lineRule="auto"/>
        <w:ind w:right="120"/>
        <w:jc w:val="both"/>
        <w:rPr>
          <w:sz w:val="24"/>
          <w:szCs w:val="24"/>
        </w:rPr>
      </w:pPr>
    </w:p>
    <w:p w14:paraId="7390ABD6"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COMO ELABORAR O PROJETO (PLANO DE TRABALHO) </w:t>
      </w:r>
    </w:p>
    <w:p w14:paraId="101D3871"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Preenchimento do modelo</w:t>
      </w:r>
    </w:p>
    <w:p w14:paraId="4C0AF8BA"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agente cultural deve preencher o Anexo II - Formulário de Inscrição/Plano de Trabalho, documento que contém a ficha de inscrição, a descrição do projeto e a planilha orçamentária.</w:t>
      </w:r>
    </w:p>
    <w:p w14:paraId="5BF4E1D1"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 agente cultural será o único responsável pela veracidade do projeto e documentos encaminhados, isentando o </w:t>
      </w:r>
      <w:r>
        <w:rPr>
          <w:sz w:val="24"/>
          <w:szCs w:val="24"/>
        </w:rPr>
        <w:t xml:space="preserve">Município de Mariluz do Estado do Paraná </w:t>
      </w:r>
      <w:r>
        <w:rPr>
          <w:color w:val="000000"/>
          <w:sz w:val="24"/>
          <w:szCs w:val="24"/>
        </w:rPr>
        <w:t xml:space="preserve">de qualquer responsabilidade civil ou penal.  </w:t>
      </w:r>
    </w:p>
    <w:p w14:paraId="5C87FE7E"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Previsão de execução do projeto</w:t>
      </w:r>
    </w:p>
    <w:p w14:paraId="683B135E"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Os projetos apresentados deverão ser executados até 31 de dezembro de 2026.</w:t>
      </w:r>
    </w:p>
    <w:p w14:paraId="3D62F70F"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Qualquer alteração no prazo de execução deve ser previamente acertada com o Departamento de Cultura.</w:t>
      </w:r>
    </w:p>
    <w:p w14:paraId="18ACC23C"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Custos do projeto</w:t>
      </w:r>
    </w:p>
    <w:p w14:paraId="36A42BB9"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532E2D53"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Atenção!</w:t>
      </w:r>
      <w:r>
        <w:rPr>
          <w:color w:val="000000"/>
          <w:sz w:val="24"/>
          <w:szCs w:val="24"/>
        </w:rPr>
        <w:t xml:space="preserve"> O valor solicitado </w:t>
      </w:r>
      <w:r>
        <w:rPr>
          <w:sz w:val="24"/>
          <w:szCs w:val="24"/>
        </w:rPr>
        <w:t>deverá ser igual ao valor</w:t>
      </w:r>
      <w:r>
        <w:rPr>
          <w:color w:val="000000"/>
          <w:sz w:val="24"/>
          <w:szCs w:val="24"/>
        </w:rPr>
        <w:t xml:space="preserve"> destinado a cada projeto, conforme Anexo I do presente edital.</w:t>
      </w:r>
    </w:p>
    <w:p w14:paraId="2D8DB02E"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Atenção!</w:t>
      </w:r>
      <w:r>
        <w:rPr>
          <w:color w:val="000000"/>
          <w:sz w:val="24"/>
          <w:szCs w:val="24"/>
        </w:rPr>
        <w:t xml:space="preserve"> O apoio concedido por meio deste Edital poderá ser acumulado com recursos captados por meio de leis de incentivo fiscal, patrocínio direto privado, e outros </w:t>
      </w:r>
      <w:r>
        <w:rPr>
          <w:color w:val="000000"/>
          <w:sz w:val="24"/>
          <w:szCs w:val="24"/>
        </w:rPr>
        <w:lastRenderedPageBreak/>
        <w:t>programas e/ou apoios federais, estaduais e municipais, vedada a duplicidade ou a sobreposição de fontes de recursos no custeio de um mesmo item de despesa.</w:t>
      </w:r>
    </w:p>
    <w:p w14:paraId="2FACA52F" w14:textId="77777777" w:rsidR="0084325E" w:rsidRDefault="0084325E">
      <w:pPr>
        <w:pBdr>
          <w:top w:val="nil"/>
          <w:left w:val="nil"/>
          <w:bottom w:val="nil"/>
          <w:right w:val="nil"/>
          <w:between w:val="nil"/>
        </w:pBdr>
        <w:spacing w:before="120" w:after="120" w:line="240" w:lineRule="auto"/>
        <w:ind w:right="120"/>
        <w:jc w:val="both"/>
        <w:rPr>
          <w:color w:val="000000"/>
          <w:sz w:val="24"/>
          <w:szCs w:val="24"/>
          <w:highlight w:val="cyan"/>
        </w:rPr>
      </w:pPr>
    </w:p>
    <w:p w14:paraId="0D49D910"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 xml:space="preserve">Recursos de acessibilidade </w:t>
      </w:r>
    </w:p>
    <w:p w14:paraId="6518FE3F"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projetos devem contar com medidas de acessibilidade física, atitudinal e comunicacional compatíveis com as suas características, nos termos do disposto na </w:t>
      </w:r>
      <w:hyperlink r:id="rId15">
        <w:r>
          <w:rPr>
            <w:color w:val="0000FF"/>
            <w:sz w:val="24"/>
            <w:szCs w:val="24"/>
            <w:u w:val="single"/>
          </w:rPr>
          <w:t>Lei nº 13.146, de 6 de julho de 2015</w:t>
        </w:r>
      </w:hyperlink>
      <w:r>
        <w:rPr>
          <w:color w:val="000000"/>
          <w:sz w:val="24"/>
          <w:szCs w:val="24"/>
        </w:rPr>
        <w:t> (Lei Brasileira de Inclusão da Pessoa com Deficiência).</w:t>
      </w:r>
    </w:p>
    <w:p w14:paraId="0ADEA303"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São medidas de acessibilidade:</w:t>
      </w:r>
    </w:p>
    <w:p w14:paraId="1A2061B0"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7506E3C"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13A1D0B6"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41D09296"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Especificamente para pessoas com deficiência, mecanismos de protagonismo e participação poderão ser concretizados também por meio das seguintes iniciativas, entre outras:</w:t>
      </w:r>
    </w:p>
    <w:p w14:paraId="79944E5E"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 - Adaptação de espaços culturais com residências inclusivas;</w:t>
      </w:r>
    </w:p>
    <w:p w14:paraId="498F7019"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 - Utilização de tecnologias assistivas, ajudas técnicas e produtos com desenho universal;</w:t>
      </w:r>
    </w:p>
    <w:p w14:paraId="1ECC43FA"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III - Medidas de prevenção e erradicação de barreiras atitudinais;</w:t>
      </w:r>
    </w:p>
    <w:p w14:paraId="1D589FF2"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IV - Contratação de serviços de assistência por acompanhante; ou</w:t>
      </w:r>
    </w:p>
    <w:p w14:paraId="6BFCBD62"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V - Oferta de ações de formação e capacitação acessíveis a pessoas com deficiência.</w:t>
      </w:r>
    </w:p>
    <w:p w14:paraId="59FA5AD3" w14:textId="77777777" w:rsidR="0084325E" w:rsidRDefault="0084325E">
      <w:pPr>
        <w:pBdr>
          <w:top w:val="nil"/>
          <w:left w:val="nil"/>
          <w:bottom w:val="nil"/>
          <w:right w:val="nil"/>
          <w:between w:val="nil"/>
        </w:pBdr>
        <w:spacing w:before="120" w:after="120" w:line="240" w:lineRule="auto"/>
        <w:ind w:right="120"/>
        <w:jc w:val="both"/>
        <w:rPr>
          <w:b/>
          <w:bCs/>
          <w:color w:val="000000"/>
          <w:sz w:val="24"/>
          <w:szCs w:val="24"/>
        </w:rPr>
      </w:pPr>
    </w:p>
    <w:p w14:paraId="747B452A"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ETAPA DE SELEÇÃO</w:t>
      </w:r>
    </w:p>
    <w:p w14:paraId="38194768"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Quem analisa os projetos</w:t>
      </w:r>
    </w:p>
    <w:p w14:paraId="3CD53108" w14:textId="77777777" w:rsidR="0084325E" w:rsidRDefault="00000000">
      <w:pPr>
        <w:spacing w:before="240" w:after="240" w:line="257" w:lineRule="auto"/>
        <w:jc w:val="both"/>
        <w:rPr>
          <w:sz w:val="24"/>
          <w:szCs w:val="24"/>
        </w:rPr>
      </w:pPr>
      <w:r>
        <w:rPr>
          <w:sz w:val="24"/>
          <w:szCs w:val="24"/>
        </w:rPr>
        <w:t>A Avaliação e Seleção das candidaturas será realizada por colaboradores da empresa contratada pelo município para este fim, e coordenada por servidores da Secretaria Municipal de Educação e Cultura.</w:t>
      </w:r>
    </w:p>
    <w:p w14:paraId="59C6C7FC"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FF0000"/>
          <w:sz w:val="24"/>
          <w:szCs w:val="24"/>
        </w:rPr>
      </w:pPr>
      <w:r>
        <w:rPr>
          <w:b/>
          <w:bCs/>
          <w:color w:val="000000"/>
          <w:sz w:val="24"/>
          <w:szCs w:val="24"/>
        </w:rPr>
        <w:t>Quem não pode analisar os projetos</w:t>
      </w:r>
    </w:p>
    <w:p w14:paraId="39F304B6" w14:textId="77777777" w:rsidR="0084325E" w:rsidRDefault="00000000">
      <w:pPr>
        <w:pBdr>
          <w:top w:val="nil"/>
          <w:left w:val="nil"/>
          <w:bottom w:val="nil"/>
          <w:right w:val="nil"/>
          <w:between w:val="nil"/>
        </w:pBdr>
        <w:spacing w:before="120" w:after="120" w:line="240" w:lineRule="auto"/>
        <w:ind w:right="120"/>
        <w:jc w:val="both"/>
        <w:rPr>
          <w:b/>
          <w:bCs/>
          <w:color w:val="FF0000"/>
          <w:sz w:val="24"/>
          <w:szCs w:val="24"/>
        </w:rPr>
      </w:pPr>
      <w:r>
        <w:rPr>
          <w:color w:val="000000"/>
          <w:sz w:val="24"/>
          <w:szCs w:val="24"/>
        </w:rPr>
        <w:lastRenderedPageBreak/>
        <w:t>Os membros da comissão de seleção e respectivos suplentes ficam impedidos de participar da apreciação dos projetos quando:</w:t>
      </w:r>
    </w:p>
    <w:p w14:paraId="3B087EC1"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 - Tiverem interesse direto na matéria;</w:t>
      </w:r>
    </w:p>
    <w:p w14:paraId="4FF37446"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 - Tenham participado como colaborador na elaboração do projeto;</w:t>
      </w:r>
    </w:p>
    <w:p w14:paraId="49C08A2E"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7A81DE00"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IV - Sejam parte em ação judicial ou administrativa em face do agente cultural ou do respectivo cônjuge ou companheiro.</w:t>
      </w:r>
    </w:p>
    <w:p w14:paraId="632E974A"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o membro da comissão se enquadre nas situações de impedimento, deve comunicar à comissão, e deixar de atuar, imediatamente, caso contrário todos os atos praticados podem ser considerados nulos. </w:t>
      </w:r>
    </w:p>
    <w:p w14:paraId="0D6EE44D"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 xml:space="preserve">Atenção! </w:t>
      </w:r>
      <w:r>
        <w:rPr>
          <w:color w:val="000000"/>
          <w:sz w:val="24"/>
          <w:szCs w:val="24"/>
        </w:rPr>
        <w:t>Os parentes de que trata o item III são:  pai, mãe, filho/filha, avô, avó, neto/neta, bisavô/bisavó, bisneto/bisneta, irmão/irmã, tio/tia, sobrinho/sobrinha, sogro/sogra, genro/nora, enteado/enteada, cunhado/cunhada.</w:t>
      </w:r>
    </w:p>
    <w:p w14:paraId="72391F75" w14:textId="77777777" w:rsidR="0084325E" w:rsidRDefault="0084325E">
      <w:pPr>
        <w:pBdr>
          <w:top w:val="nil"/>
          <w:left w:val="nil"/>
          <w:bottom w:val="nil"/>
          <w:right w:val="nil"/>
          <w:between w:val="nil"/>
        </w:pBdr>
        <w:spacing w:before="120" w:after="120" w:line="240" w:lineRule="auto"/>
        <w:ind w:left="120" w:right="120"/>
        <w:jc w:val="both"/>
        <w:rPr>
          <w:color w:val="000000"/>
          <w:sz w:val="24"/>
          <w:szCs w:val="24"/>
        </w:rPr>
      </w:pPr>
    </w:p>
    <w:p w14:paraId="1478C245" w14:textId="77777777" w:rsidR="0084325E" w:rsidRDefault="00000000">
      <w:pPr>
        <w:numPr>
          <w:ilvl w:val="1"/>
          <w:numId w:val="1"/>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 xml:space="preserve">Análise do mérito cultural </w:t>
      </w:r>
    </w:p>
    <w:p w14:paraId="77C180CB"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membros da comissão de seleção farão a análise de mérito cultural dos projetos.</w:t>
      </w:r>
    </w:p>
    <w:p w14:paraId="5576E0A2"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C948E7A"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Por análise comparativa compreende-se a análise dos itens individuais de cada projeto, e de seus impactos e relevância em relação a outros projetos inscritos na mesma categoria. A pontuação de cada projeto é atribuída em função desta comparação.</w:t>
      </w:r>
    </w:p>
    <w:p w14:paraId="7A2AC02C" w14:textId="77777777" w:rsidR="0084325E" w:rsidRDefault="0084325E">
      <w:pPr>
        <w:pBdr>
          <w:top w:val="nil"/>
          <w:left w:val="nil"/>
          <w:bottom w:val="nil"/>
          <w:right w:val="nil"/>
          <w:between w:val="nil"/>
        </w:pBdr>
        <w:spacing w:before="120" w:after="120" w:line="240" w:lineRule="auto"/>
        <w:ind w:left="120" w:right="120"/>
        <w:jc w:val="both"/>
        <w:rPr>
          <w:b/>
          <w:bCs/>
          <w:color w:val="000000"/>
          <w:sz w:val="24"/>
          <w:szCs w:val="24"/>
        </w:rPr>
      </w:pPr>
    </w:p>
    <w:p w14:paraId="551B60BA"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Análise da planilha orçamentária</w:t>
      </w:r>
    </w:p>
    <w:p w14:paraId="165AAC72"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membros da comissão de seleção vão avaliar se os valores informados pelo agente cultural são compatíveis com os preços praticados no mercado.</w:t>
      </w:r>
    </w:p>
    <w:p w14:paraId="2F9641F8"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membros da comissão de seleção podem realizar a análise comparando os valores apresentados pelo agente cultural com tabelas referenciais de valores, ou com outros métodos de verificação.</w:t>
      </w:r>
    </w:p>
    <w:p w14:paraId="326D958B" w14:textId="77777777" w:rsidR="0084325E" w:rsidRDefault="0084325E">
      <w:pPr>
        <w:pBdr>
          <w:top w:val="nil"/>
          <w:left w:val="nil"/>
          <w:bottom w:val="nil"/>
          <w:right w:val="nil"/>
          <w:between w:val="nil"/>
        </w:pBdr>
        <w:spacing w:before="120" w:after="120" w:line="240" w:lineRule="auto"/>
        <w:ind w:left="120" w:right="120"/>
        <w:jc w:val="both"/>
        <w:rPr>
          <w:color w:val="000000"/>
          <w:sz w:val="24"/>
          <w:szCs w:val="24"/>
        </w:rPr>
      </w:pPr>
    </w:p>
    <w:p w14:paraId="310ED628"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Recurso da etapa de seleção</w:t>
      </w:r>
    </w:p>
    <w:p w14:paraId="213A7C26"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resultado provisório da etapa de seleção será divulgado no diário oficial do Município de Mariluz do Estado do Paraná e no site oficial da Prefeitura Municipal de Mariluz.</w:t>
      </w:r>
    </w:p>
    <w:p w14:paraId="5BB97972"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lastRenderedPageBreak/>
        <w:t xml:space="preserve">O agente poderá fazer as mudanças indicadas na análise, a fim de abrir a possibilidade de ter o projeto reavaliado. Para isso será necessário preenchimento de recurso conforme Anexo V, enviado para o </w:t>
      </w:r>
      <w:proofErr w:type="spellStart"/>
      <w:r>
        <w:rPr>
          <w:sz w:val="24"/>
          <w:szCs w:val="24"/>
        </w:rPr>
        <w:t>email</w:t>
      </w:r>
      <w:proofErr w:type="spellEnd"/>
      <w:r>
        <w:rPr>
          <w:color w:val="FF0000"/>
          <w:sz w:val="24"/>
          <w:szCs w:val="24"/>
        </w:rPr>
        <w:t xml:space="preserve"> </w:t>
      </w:r>
      <w:hyperlink r:id="rId16">
        <w:r>
          <w:rPr>
            <w:color w:val="1155CC"/>
            <w:sz w:val="24"/>
            <w:szCs w:val="24"/>
            <w:u w:val="single"/>
          </w:rPr>
          <w:t>asterproducoesculturais@gmail.com</w:t>
        </w:r>
      </w:hyperlink>
      <w:r>
        <w:rPr>
          <w:color w:val="FF0000"/>
          <w:sz w:val="24"/>
          <w:szCs w:val="24"/>
        </w:rPr>
        <w:t xml:space="preserve"> </w:t>
      </w:r>
      <w:r>
        <w:rPr>
          <w:sz w:val="24"/>
          <w:szCs w:val="24"/>
        </w:rPr>
        <w:t>no prazo de </w:t>
      </w:r>
      <w:r>
        <w:rPr>
          <w:b/>
          <w:bCs/>
          <w:sz w:val="24"/>
          <w:szCs w:val="24"/>
        </w:rPr>
        <w:t>3 dias corridos,</w:t>
      </w:r>
      <w:r>
        <w:rPr>
          <w:sz w:val="24"/>
          <w:szCs w:val="24"/>
        </w:rPr>
        <w:t xml:space="preserve"> a contar da publicação do resultado, considerando-se para início da contagem o primeiro dia posterior à publicação. </w:t>
      </w:r>
    </w:p>
    <w:p w14:paraId="7574FABB"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Os recursos apresentados após o prazo não serão avaliados. </w:t>
      </w:r>
    </w:p>
    <w:p w14:paraId="23C3BC7D"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Após o julgamento dos recursos, o resultado final da etapa de seleção será divulgado no site do município.</w:t>
      </w:r>
    </w:p>
    <w:p w14:paraId="2722D842"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w:t>
      </w:r>
    </w:p>
    <w:p w14:paraId="7ECF3570"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REMANEJAMENTO DE VAGAS</w:t>
      </w:r>
    </w:p>
    <w:p w14:paraId="6E42053E"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Caso este edital não tenha sua vaga preenchida, os recursos remanescentes poderão ser utilizados em outro edital da PNAB.</w:t>
      </w:r>
    </w:p>
    <w:p w14:paraId="75D00997"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A decisão de remanejamento dos recursos remanescentes ficará a cargo da Coordenação de Seleção.</w:t>
      </w:r>
    </w:p>
    <w:p w14:paraId="490CDF9D"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w:t>
      </w:r>
    </w:p>
    <w:p w14:paraId="0DEB6A52"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 ETAPA DE HABILITAÇÃO </w:t>
      </w:r>
    </w:p>
    <w:p w14:paraId="1B5A8EED"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Documentos necessários</w:t>
      </w:r>
    </w:p>
    <w:p w14:paraId="7C29EA58"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O agente cultural responsável pelo projeto selecionado deverá encaminhar no prazo de </w:t>
      </w:r>
      <w:r>
        <w:rPr>
          <w:b/>
          <w:bCs/>
          <w:sz w:val="24"/>
          <w:szCs w:val="24"/>
        </w:rPr>
        <w:t>5 dias corridos</w:t>
      </w:r>
      <w:r>
        <w:rPr>
          <w:sz w:val="24"/>
          <w:szCs w:val="24"/>
        </w:rPr>
        <w:t xml:space="preserve"> após a publicação do resultado final de seleção, por meio de Formulário Google </w:t>
      </w:r>
      <w:hyperlink r:id="rId17">
        <w:r>
          <w:rPr>
            <w:color w:val="1155CC"/>
            <w:sz w:val="24"/>
            <w:szCs w:val="24"/>
            <w:u w:val="single"/>
          </w:rPr>
          <w:t>https://forms.gle/b3MMWe2BsormHNSq6</w:t>
        </w:r>
      </w:hyperlink>
      <w:r>
        <w:rPr>
          <w:sz w:val="24"/>
          <w:szCs w:val="24"/>
        </w:rPr>
        <w:t>, os seguintes documentos:</w:t>
      </w:r>
    </w:p>
    <w:p w14:paraId="6F102069" w14:textId="77777777" w:rsidR="0084325E" w:rsidRDefault="0084325E">
      <w:pPr>
        <w:pBdr>
          <w:top w:val="nil"/>
          <w:left w:val="nil"/>
          <w:bottom w:val="nil"/>
          <w:right w:val="nil"/>
          <w:between w:val="nil"/>
        </w:pBdr>
        <w:spacing w:before="120" w:after="120" w:line="240" w:lineRule="auto"/>
        <w:ind w:right="120"/>
        <w:jc w:val="both"/>
        <w:rPr>
          <w:sz w:val="24"/>
          <w:szCs w:val="24"/>
        </w:rPr>
      </w:pPr>
    </w:p>
    <w:p w14:paraId="58B85275" w14:textId="77777777" w:rsidR="0084325E" w:rsidRDefault="00000000">
      <w:pPr>
        <w:spacing w:before="120" w:after="120" w:line="240" w:lineRule="auto"/>
        <w:ind w:right="120"/>
        <w:jc w:val="both"/>
        <w:rPr>
          <w:b/>
          <w:bCs/>
          <w:sz w:val="24"/>
          <w:szCs w:val="24"/>
        </w:rPr>
      </w:pPr>
      <w:r>
        <w:rPr>
          <w:b/>
          <w:bCs/>
          <w:sz w:val="24"/>
          <w:szCs w:val="24"/>
        </w:rPr>
        <w:t>PESSOA FÍSICA (ou grupo ou coletivo sem CNPJ)</w:t>
      </w:r>
    </w:p>
    <w:p w14:paraId="32402527" w14:textId="77777777" w:rsidR="0084325E" w:rsidRDefault="00000000">
      <w:pPr>
        <w:spacing w:before="120" w:after="120" w:line="240" w:lineRule="auto"/>
        <w:ind w:right="120"/>
        <w:jc w:val="both"/>
        <w:rPr>
          <w:sz w:val="24"/>
          <w:szCs w:val="24"/>
        </w:rPr>
      </w:pPr>
      <w:r>
        <w:rPr>
          <w:sz w:val="24"/>
          <w:szCs w:val="24"/>
        </w:rPr>
        <w:t xml:space="preserve">I - </w:t>
      </w:r>
      <w:proofErr w:type="spellStart"/>
      <w:r>
        <w:rPr>
          <w:sz w:val="24"/>
          <w:szCs w:val="24"/>
        </w:rPr>
        <w:t>certidão</w:t>
      </w:r>
      <w:proofErr w:type="spellEnd"/>
      <w:r>
        <w:rPr>
          <w:sz w:val="24"/>
          <w:szCs w:val="24"/>
        </w:rPr>
        <w:t xml:space="preserve"> negativa de </w:t>
      </w:r>
      <w:proofErr w:type="spellStart"/>
      <w:r>
        <w:rPr>
          <w:sz w:val="24"/>
          <w:szCs w:val="24"/>
        </w:rPr>
        <w:t>débitos</w:t>
      </w:r>
      <w:proofErr w:type="spellEnd"/>
      <w:r>
        <w:rPr>
          <w:sz w:val="24"/>
          <w:szCs w:val="24"/>
        </w:rPr>
        <w:t xml:space="preserve"> relativos a </w:t>
      </w:r>
      <w:proofErr w:type="spellStart"/>
      <w:r>
        <w:rPr>
          <w:sz w:val="24"/>
          <w:szCs w:val="24"/>
        </w:rPr>
        <w:t>Créditos</w:t>
      </w:r>
      <w:proofErr w:type="spellEnd"/>
      <w:r>
        <w:rPr>
          <w:sz w:val="24"/>
          <w:szCs w:val="24"/>
        </w:rPr>
        <w:t xml:space="preserve"> </w:t>
      </w:r>
      <w:proofErr w:type="spellStart"/>
      <w:r>
        <w:rPr>
          <w:sz w:val="24"/>
          <w:szCs w:val="24"/>
        </w:rPr>
        <w:t>Tributários</w:t>
      </w:r>
      <w:proofErr w:type="spellEnd"/>
      <w:r>
        <w:rPr>
          <w:sz w:val="24"/>
          <w:szCs w:val="24"/>
        </w:rPr>
        <w:t xml:space="preserve"> Federais e à </w:t>
      </w:r>
      <w:proofErr w:type="spellStart"/>
      <w:r>
        <w:rPr>
          <w:sz w:val="24"/>
          <w:szCs w:val="24"/>
        </w:rPr>
        <w:t>Dívida</w:t>
      </w:r>
      <w:proofErr w:type="spellEnd"/>
      <w:r>
        <w:rPr>
          <w:sz w:val="24"/>
          <w:szCs w:val="24"/>
        </w:rPr>
        <w:t xml:space="preserve"> Ativa da </w:t>
      </w:r>
      <w:proofErr w:type="spellStart"/>
      <w:r>
        <w:rPr>
          <w:sz w:val="24"/>
          <w:szCs w:val="24"/>
        </w:rPr>
        <w:t>União</w:t>
      </w:r>
      <w:proofErr w:type="spellEnd"/>
      <w:r>
        <w:rPr>
          <w:sz w:val="24"/>
          <w:szCs w:val="24"/>
        </w:rPr>
        <w:t>;</w:t>
      </w:r>
    </w:p>
    <w:p w14:paraId="61DE0A0E" w14:textId="77777777" w:rsidR="0084325E" w:rsidRDefault="00000000">
      <w:pPr>
        <w:spacing w:before="120" w:after="120" w:line="240" w:lineRule="auto"/>
        <w:ind w:right="120"/>
        <w:jc w:val="both"/>
        <w:rPr>
          <w:sz w:val="24"/>
          <w:szCs w:val="24"/>
        </w:rPr>
      </w:pPr>
      <w:r>
        <w:rPr>
          <w:sz w:val="24"/>
          <w:szCs w:val="24"/>
        </w:rPr>
        <w:t>(</w:t>
      </w:r>
      <w:hyperlink r:id="rId18">
        <w:r>
          <w:rPr>
            <w:color w:val="1155CC"/>
            <w:sz w:val="24"/>
            <w:szCs w:val="24"/>
            <w:u w:val="single"/>
          </w:rPr>
          <w:t>https://solucoes.receita.fazenda.gov.br/Servicos/certidaointernet/PF/Emitir</w:t>
        </w:r>
      </w:hyperlink>
      <w:r>
        <w:rPr>
          <w:sz w:val="24"/>
          <w:szCs w:val="24"/>
        </w:rPr>
        <w:t>)</w:t>
      </w:r>
    </w:p>
    <w:p w14:paraId="1E34A077" w14:textId="77777777" w:rsidR="0084325E" w:rsidRDefault="00000000">
      <w:pPr>
        <w:spacing w:before="120" w:after="120" w:line="240" w:lineRule="auto"/>
        <w:ind w:right="120"/>
        <w:jc w:val="both"/>
        <w:rPr>
          <w:sz w:val="24"/>
          <w:szCs w:val="24"/>
        </w:rPr>
      </w:pPr>
      <w:r>
        <w:rPr>
          <w:sz w:val="24"/>
          <w:szCs w:val="24"/>
        </w:rPr>
        <w:t xml:space="preserve">II - certidões negativas de </w:t>
      </w:r>
      <w:proofErr w:type="spellStart"/>
      <w:r>
        <w:rPr>
          <w:sz w:val="24"/>
          <w:szCs w:val="24"/>
        </w:rPr>
        <w:t>débitos</w:t>
      </w:r>
      <w:proofErr w:type="spellEnd"/>
      <w:r>
        <w:rPr>
          <w:sz w:val="24"/>
          <w:szCs w:val="24"/>
        </w:rPr>
        <w:t xml:space="preserve"> relativas ao créditos tributários estaduais;</w:t>
      </w:r>
    </w:p>
    <w:p w14:paraId="63FCC5DA" w14:textId="77777777" w:rsidR="0084325E" w:rsidRDefault="00000000">
      <w:pPr>
        <w:spacing w:before="120" w:after="120" w:line="240" w:lineRule="auto"/>
        <w:ind w:right="120"/>
        <w:jc w:val="both"/>
        <w:rPr>
          <w:sz w:val="24"/>
          <w:szCs w:val="24"/>
        </w:rPr>
      </w:pPr>
      <w:r>
        <w:rPr>
          <w:sz w:val="24"/>
          <w:szCs w:val="24"/>
        </w:rPr>
        <w:t>(</w:t>
      </w:r>
      <w:hyperlink r:id="rId19">
        <w:r>
          <w:rPr>
            <w:color w:val="1155CC"/>
            <w:sz w:val="24"/>
            <w:szCs w:val="24"/>
            <w:u w:val="single"/>
          </w:rPr>
          <w:t>http://www.cdw.fazenda.pr.gov.br/cdw/emissao/certidaoAutomatica</w:t>
        </w:r>
      </w:hyperlink>
      <w:r>
        <w:rPr>
          <w:sz w:val="24"/>
          <w:szCs w:val="24"/>
        </w:rPr>
        <w:t xml:space="preserve">) </w:t>
      </w:r>
    </w:p>
    <w:p w14:paraId="733F271D" w14:textId="77777777" w:rsidR="0084325E" w:rsidRDefault="00000000">
      <w:pPr>
        <w:spacing w:before="120" w:after="120" w:line="240" w:lineRule="auto"/>
        <w:ind w:right="120"/>
        <w:jc w:val="both"/>
        <w:rPr>
          <w:sz w:val="24"/>
          <w:szCs w:val="24"/>
        </w:rPr>
      </w:pPr>
      <w:r>
        <w:rPr>
          <w:sz w:val="24"/>
          <w:szCs w:val="24"/>
        </w:rPr>
        <w:t xml:space="preserve"> III -  certidões negativas de </w:t>
      </w:r>
      <w:proofErr w:type="spellStart"/>
      <w:r>
        <w:rPr>
          <w:sz w:val="24"/>
          <w:szCs w:val="24"/>
        </w:rPr>
        <w:t>débitos</w:t>
      </w:r>
      <w:proofErr w:type="spellEnd"/>
      <w:r>
        <w:rPr>
          <w:sz w:val="24"/>
          <w:szCs w:val="24"/>
        </w:rPr>
        <w:t xml:space="preserve"> relativas ao créditos tributários municipais;</w:t>
      </w:r>
    </w:p>
    <w:p w14:paraId="58CC8B74" w14:textId="77777777" w:rsidR="0084325E" w:rsidRDefault="00000000">
      <w:pPr>
        <w:spacing w:before="120" w:after="120" w:line="240" w:lineRule="auto"/>
        <w:ind w:right="120"/>
        <w:jc w:val="both"/>
        <w:rPr>
          <w:sz w:val="24"/>
          <w:szCs w:val="24"/>
        </w:rPr>
      </w:pPr>
      <w:r>
        <w:rPr>
          <w:sz w:val="24"/>
          <w:szCs w:val="24"/>
        </w:rPr>
        <w:t>(</w:t>
      </w:r>
      <w:hyperlink r:id="rId20">
        <w:r>
          <w:rPr>
            <w:color w:val="1155CC"/>
            <w:sz w:val="24"/>
            <w:szCs w:val="24"/>
            <w:u w:val="single"/>
          </w:rPr>
          <w:t>https://mariluz.eloweb.net/portal-contribuinte/emissao-certidoes</w:t>
        </w:r>
      </w:hyperlink>
      <w:r>
        <w:rPr>
          <w:sz w:val="24"/>
          <w:szCs w:val="24"/>
        </w:rPr>
        <w:t xml:space="preserve">)  </w:t>
      </w:r>
    </w:p>
    <w:p w14:paraId="3A0ECE29" w14:textId="77777777" w:rsidR="0084325E" w:rsidRDefault="00000000">
      <w:pPr>
        <w:spacing w:before="120" w:after="120" w:line="240" w:lineRule="auto"/>
        <w:ind w:right="120"/>
        <w:jc w:val="both"/>
        <w:rPr>
          <w:sz w:val="24"/>
          <w:szCs w:val="24"/>
        </w:rPr>
      </w:pPr>
      <w:r>
        <w:rPr>
          <w:sz w:val="24"/>
          <w:szCs w:val="24"/>
        </w:rPr>
        <w:t xml:space="preserve">IV - </w:t>
      </w:r>
      <w:proofErr w:type="spellStart"/>
      <w:r>
        <w:rPr>
          <w:sz w:val="24"/>
          <w:szCs w:val="24"/>
        </w:rPr>
        <w:t>certidão</w:t>
      </w:r>
      <w:proofErr w:type="spellEnd"/>
      <w:r>
        <w:rPr>
          <w:sz w:val="24"/>
          <w:szCs w:val="24"/>
        </w:rPr>
        <w:t xml:space="preserve"> negativa de </w:t>
      </w:r>
      <w:proofErr w:type="spellStart"/>
      <w:r>
        <w:rPr>
          <w:sz w:val="24"/>
          <w:szCs w:val="24"/>
        </w:rPr>
        <w:t>débitos</w:t>
      </w:r>
      <w:proofErr w:type="spellEnd"/>
      <w:r>
        <w:rPr>
          <w:sz w:val="24"/>
          <w:szCs w:val="24"/>
        </w:rPr>
        <w:t xml:space="preserve"> trabalhistas - CNDT, emitida no site do Tribunal Superior do Trabalho; </w:t>
      </w:r>
    </w:p>
    <w:p w14:paraId="6507DFBF" w14:textId="77777777" w:rsidR="0084325E" w:rsidRDefault="00000000">
      <w:pPr>
        <w:spacing w:before="120" w:after="120" w:line="240" w:lineRule="auto"/>
        <w:ind w:right="120"/>
        <w:jc w:val="both"/>
        <w:rPr>
          <w:sz w:val="24"/>
          <w:szCs w:val="24"/>
        </w:rPr>
      </w:pPr>
      <w:r>
        <w:rPr>
          <w:sz w:val="24"/>
          <w:szCs w:val="24"/>
        </w:rPr>
        <w:t>(</w:t>
      </w:r>
      <w:hyperlink r:id="rId21">
        <w:r>
          <w:rPr>
            <w:color w:val="1155CC"/>
            <w:sz w:val="24"/>
            <w:szCs w:val="24"/>
            <w:u w:val="single"/>
          </w:rPr>
          <w:t>https://cndt-certidao.tst.jus.br/inicio.faces</w:t>
        </w:r>
      </w:hyperlink>
      <w:r>
        <w:rPr>
          <w:sz w:val="24"/>
          <w:szCs w:val="24"/>
        </w:rPr>
        <w:t xml:space="preserve">) </w:t>
      </w:r>
    </w:p>
    <w:p w14:paraId="7A1F8EF4" w14:textId="77777777" w:rsidR="0084325E" w:rsidRDefault="00000000">
      <w:pPr>
        <w:spacing w:before="120" w:after="120" w:line="240" w:lineRule="auto"/>
        <w:ind w:right="120"/>
        <w:jc w:val="both"/>
        <w:rPr>
          <w:sz w:val="24"/>
          <w:szCs w:val="24"/>
        </w:rPr>
      </w:pPr>
      <w:r>
        <w:rPr>
          <w:sz w:val="24"/>
          <w:szCs w:val="24"/>
        </w:rPr>
        <w:t xml:space="preserve">V - comprovante de residência, por meio da apresentação de contas relativas à residência ou de declaração de </w:t>
      </w:r>
      <w:proofErr w:type="spellStart"/>
      <w:r>
        <w:rPr>
          <w:sz w:val="24"/>
          <w:szCs w:val="24"/>
        </w:rPr>
        <w:t>co-residência</w:t>
      </w:r>
      <w:proofErr w:type="spellEnd"/>
      <w:r>
        <w:rPr>
          <w:sz w:val="24"/>
          <w:szCs w:val="24"/>
        </w:rPr>
        <w:t xml:space="preserve"> assinada pelo agente cultural, conforme modelo disposto no Anexo VIII;</w:t>
      </w:r>
    </w:p>
    <w:p w14:paraId="27BC2E6A" w14:textId="77777777" w:rsidR="0084325E" w:rsidRDefault="00000000">
      <w:pPr>
        <w:spacing w:before="120" w:after="120" w:line="240" w:lineRule="auto"/>
        <w:ind w:right="120"/>
        <w:jc w:val="both"/>
        <w:rPr>
          <w:sz w:val="24"/>
          <w:szCs w:val="24"/>
        </w:rPr>
      </w:pPr>
      <w:r>
        <w:rPr>
          <w:sz w:val="24"/>
          <w:szCs w:val="24"/>
        </w:rPr>
        <w:lastRenderedPageBreak/>
        <w:t>VI - Declaração de substituto do projeto, em caso de motivo de força maior, conforme Anexo VIII; e</w:t>
      </w:r>
    </w:p>
    <w:p w14:paraId="794D5113" w14:textId="77777777" w:rsidR="0084325E" w:rsidRDefault="00000000">
      <w:pPr>
        <w:spacing w:before="120" w:after="120" w:line="240" w:lineRule="auto"/>
        <w:ind w:right="120"/>
        <w:jc w:val="both"/>
        <w:rPr>
          <w:sz w:val="24"/>
          <w:szCs w:val="24"/>
        </w:rPr>
      </w:pPr>
      <w:r>
        <w:rPr>
          <w:sz w:val="24"/>
          <w:szCs w:val="24"/>
        </w:rPr>
        <w:t xml:space="preserve">VII - dados bancários para depósito em conta corrente </w:t>
      </w:r>
      <w:r>
        <w:rPr>
          <w:b/>
          <w:bCs/>
          <w:sz w:val="24"/>
          <w:szCs w:val="24"/>
        </w:rPr>
        <w:t>exclusiva</w:t>
      </w:r>
      <w:r>
        <w:rPr>
          <w:sz w:val="24"/>
          <w:szCs w:val="24"/>
        </w:rPr>
        <w:t xml:space="preserve"> para o projeto.</w:t>
      </w:r>
    </w:p>
    <w:p w14:paraId="262C4B6D" w14:textId="77777777" w:rsidR="0084325E" w:rsidRDefault="0084325E">
      <w:pPr>
        <w:spacing w:before="120" w:after="120" w:line="240" w:lineRule="auto"/>
        <w:ind w:right="120"/>
        <w:jc w:val="both"/>
        <w:rPr>
          <w:sz w:val="24"/>
          <w:szCs w:val="24"/>
        </w:rPr>
      </w:pPr>
    </w:p>
    <w:p w14:paraId="0C566274" w14:textId="77777777" w:rsidR="0084325E" w:rsidRDefault="00000000">
      <w:pPr>
        <w:spacing w:before="120" w:after="120" w:line="240" w:lineRule="auto"/>
        <w:ind w:right="120"/>
        <w:jc w:val="both"/>
        <w:rPr>
          <w:b/>
          <w:bCs/>
          <w:sz w:val="24"/>
          <w:szCs w:val="24"/>
        </w:rPr>
      </w:pPr>
      <w:r>
        <w:rPr>
          <w:b/>
          <w:bCs/>
          <w:sz w:val="24"/>
          <w:szCs w:val="24"/>
        </w:rPr>
        <w:t>PESSOA JURÍDICA</w:t>
      </w:r>
    </w:p>
    <w:p w14:paraId="690BA50D" w14:textId="77777777" w:rsidR="0084325E" w:rsidRDefault="00000000">
      <w:pPr>
        <w:spacing w:before="120" w:after="120" w:line="240" w:lineRule="auto"/>
        <w:ind w:right="120"/>
        <w:jc w:val="both"/>
        <w:rPr>
          <w:sz w:val="24"/>
          <w:szCs w:val="24"/>
        </w:rPr>
      </w:pPr>
      <w:r>
        <w:rPr>
          <w:sz w:val="24"/>
          <w:szCs w:val="24"/>
        </w:rPr>
        <w:t xml:space="preserve">I - </w:t>
      </w:r>
      <w:proofErr w:type="spellStart"/>
      <w:r>
        <w:rPr>
          <w:sz w:val="24"/>
          <w:szCs w:val="24"/>
        </w:rPr>
        <w:t>inscrição</w:t>
      </w:r>
      <w:proofErr w:type="spellEnd"/>
      <w:r>
        <w:rPr>
          <w:sz w:val="24"/>
          <w:szCs w:val="24"/>
        </w:rPr>
        <w:t xml:space="preserve"> no cadastro nacional de pessoa </w:t>
      </w:r>
      <w:proofErr w:type="spellStart"/>
      <w:r>
        <w:rPr>
          <w:sz w:val="24"/>
          <w:szCs w:val="24"/>
        </w:rPr>
        <w:t>jurídica</w:t>
      </w:r>
      <w:proofErr w:type="spellEnd"/>
      <w:r>
        <w:rPr>
          <w:sz w:val="24"/>
          <w:szCs w:val="24"/>
        </w:rPr>
        <w:t xml:space="preserve"> - CNPJ, emitida no site da Secretaria da Receita Federal do Brasil;</w:t>
      </w:r>
    </w:p>
    <w:p w14:paraId="7EC7C44D" w14:textId="77777777" w:rsidR="0084325E" w:rsidRDefault="00000000">
      <w:pPr>
        <w:spacing w:before="120" w:after="120" w:line="240" w:lineRule="auto"/>
        <w:ind w:right="120"/>
        <w:jc w:val="both"/>
        <w:rPr>
          <w:sz w:val="24"/>
          <w:szCs w:val="24"/>
        </w:rPr>
      </w:pPr>
      <w:r>
        <w:rPr>
          <w:sz w:val="24"/>
          <w:szCs w:val="24"/>
        </w:rPr>
        <w:t>II - atos constitutivos ou estatuto social;</w:t>
      </w:r>
    </w:p>
    <w:p w14:paraId="50C2C358" w14:textId="77777777" w:rsidR="0084325E" w:rsidRDefault="00000000">
      <w:pPr>
        <w:spacing w:before="120" w:after="120" w:line="240" w:lineRule="auto"/>
        <w:ind w:right="120"/>
        <w:jc w:val="both"/>
        <w:rPr>
          <w:sz w:val="24"/>
          <w:szCs w:val="24"/>
        </w:rPr>
      </w:pPr>
      <w:r>
        <w:rPr>
          <w:sz w:val="24"/>
          <w:szCs w:val="24"/>
        </w:rPr>
        <w:t xml:space="preserve">III - </w:t>
      </w:r>
      <w:proofErr w:type="spellStart"/>
      <w:r>
        <w:rPr>
          <w:sz w:val="24"/>
          <w:szCs w:val="24"/>
        </w:rPr>
        <w:t>certidão</w:t>
      </w:r>
      <w:proofErr w:type="spellEnd"/>
      <w:r>
        <w:rPr>
          <w:sz w:val="24"/>
          <w:szCs w:val="24"/>
        </w:rPr>
        <w:t xml:space="preserve"> negativa de </w:t>
      </w:r>
      <w:proofErr w:type="spellStart"/>
      <w:r>
        <w:rPr>
          <w:sz w:val="24"/>
          <w:szCs w:val="24"/>
        </w:rPr>
        <w:t>débitos</w:t>
      </w:r>
      <w:proofErr w:type="spellEnd"/>
      <w:r>
        <w:rPr>
          <w:sz w:val="24"/>
          <w:szCs w:val="24"/>
        </w:rPr>
        <w:t xml:space="preserve"> relativos a </w:t>
      </w:r>
      <w:proofErr w:type="spellStart"/>
      <w:r>
        <w:rPr>
          <w:sz w:val="24"/>
          <w:szCs w:val="24"/>
        </w:rPr>
        <w:t>Créditos</w:t>
      </w:r>
      <w:proofErr w:type="spellEnd"/>
      <w:r>
        <w:rPr>
          <w:sz w:val="24"/>
          <w:szCs w:val="24"/>
        </w:rPr>
        <w:t xml:space="preserve"> </w:t>
      </w:r>
      <w:proofErr w:type="spellStart"/>
      <w:r>
        <w:rPr>
          <w:sz w:val="24"/>
          <w:szCs w:val="24"/>
        </w:rPr>
        <w:t>Tributários</w:t>
      </w:r>
      <w:proofErr w:type="spellEnd"/>
      <w:r>
        <w:rPr>
          <w:sz w:val="24"/>
          <w:szCs w:val="24"/>
        </w:rPr>
        <w:t xml:space="preserve"> Federais e à </w:t>
      </w:r>
      <w:proofErr w:type="spellStart"/>
      <w:r>
        <w:rPr>
          <w:sz w:val="24"/>
          <w:szCs w:val="24"/>
        </w:rPr>
        <w:t>Dívida</w:t>
      </w:r>
      <w:proofErr w:type="spellEnd"/>
      <w:r>
        <w:rPr>
          <w:sz w:val="24"/>
          <w:szCs w:val="24"/>
        </w:rPr>
        <w:t xml:space="preserve"> Ativa da </w:t>
      </w:r>
      <w:proofErr w:type="spellStart"/>
      <w:r>
        <w:rPr>
          <w:sz w:val="24"/>
          <w:szCs w:val="24"/>
        </w:rPr>
        <w:t>União</w:t>
      </w:r>
      <w:proofErr w:type="spellEnd"/>
      <w:r>
        <w:rPr>
          <w:sz w:val="24"/>
          <w:szCs w:val="24"/>
        </w:rPr>
        <w:t>;</w:t>
      </w:r>
    </w:p>
    <w:p w14:paraId="5ACCED18" w14:textId="77777777" w:rsidR="0084325E" w:rsidRDefault="00000000">
      <w:pPr>
        <w:spacing w:before="120" w:after="120" w:line="240" w:lineRule="auto"/>
        <w:ind w:right="120"/>
        <w:jc w:val="both"/>
        <w:rPr>
          <w:sz w:val="24"/>
          <w:szCs w:val="24"/>
        </w:rPr>
      </w:pPr>
      <w:r>
        <w:rPr>
          <w:sz w:val="24"/>
          <w:szCs w:val="24"/>
        </w:rPr>
        <w:t>(</w:t>
      </w:r>
      <w:hyperlink r:id="rId22">
        <w:r>
          <w:rPr>
            <w:color w:val="1155CC"/>
            <w:sz w:val="24"/>
            <w:szCs w:val="24"/>
            <w:u w:val="single"/>
          </w:rPr>
          <w:t>https://solucoes.receita.fazenda.gov.br/Servicos/certidaointernet/PF/Emitir</w:t>
        </w:r>
      </w:hyperlink>
      <w:r>
        <w:rPr>
          <w:sz w:val="24"/>
          <w:szCs w:val="24"/>
        </w:rPr>
        <w:t>)</w:t>
      </w:r>
    </w:p>
    <w:p w14:paraId="02B0A1AA" w14:textId="77777777" w:rsidR="0084325E" w:rsidRDefault="00000000">
      <w:pPr>
        <w:spacing w:before="120" w:after="120" w:line="240" w:lineRule="auto"/>
        <w:ind w:right="120"/>
        <w:jc w:val="both"/>
        <w:rPr>
          <w:sz w:val="24"/>
          <w:szCs w:val="24"/>
        </w:rPr>
      </w:pPr>
      <w:r>
        <w:rPr>
          <w:sz w:val="24"/>
          <w:szCs w:val="24"/>
        </w:rPr>
        <w:t xml:space="preserve">V - certidões negativas de </w:t>
      </w:r>
      <w:proofErr w:type="spellStart"/>
      <w:r>
        <w:rPr>
          <w:sz w:val="24"/>
          <w:szCs w:val="24"/>
        </w:rPr>
        <w:t>débitos</w:t>
      </w:r>
      <w:proofErr w:type="spellEnd"/>
      <w:r>
        <w:rPr>
          <w:sz w:val="24"/>
          <w:szCs w:val="24"/>
        </w:rPr>
        <w:t xml:space="preserve"> relativas ao créditos tributários estaduais;</w:t>
      </w:r>
    </w:p>
    <w:p w14:paraId="4D36B878" w14:textId="77777777" w:rsidR="0084325E" w:rsidRDefault="00000000">
      <w:pPr>
        <w:spacing w:before="120" w:after="120" w:line="240" w:lineRule="auto"/>
        <w:ind w:right="120"/>
        <w:jc w:val="both"/>
        <w:rPr>
          <w:sz w:val="24"/>
          <w:szCs w:val="24"/>
        </w:rPr>
      </w:pPr>
      <w:r>
        <w:rPr>
          <w:sz w:val="24"/>
          <w:szCs w:val="24"/>
        </w:rPr>
        <w:t>(</w:t>
      </w:r>
      <w:hyperlink r:id="rId23">
        <w:r>
          <w:rPr>
            <w:color w:val="1155CC"/>
            <w:sz w:val="24"/>
            <w:szCs w:val="24"/>
            <w:u w:val="single"/>
          </w:rPr>
          <w:t>http://www.cdw.fazenda.pr.gov.br/cdw/emissao/certidaoAutomatica</w:t>
        </w:r>
      </w:hyperlink>
      <w:r>
        <w:rPr>
          <w:sz w:val="24"/>
          <w:szCs w:val="24"/>
        </w:rPr>
        <w:t xml:space="preserve">) </w:t>
      </w:r>
    </w:p>
    <w:p w14:paraId="474FB8E6" w14:textId="77777777" w:rsidR="0084325E" w:rsidRDefault="00000000">
      <w:pPr>
        <w:spacing w:before="120" w:after="120" w:line="240" w:lineRule="auto"/>
        <w:ind w:right="120"/>
        <w:jc w:val="both"/>
        <w:rPr>
          <w:sz w:val="24"/>
          <w:szCs w:val="24"/>
        </w:rPr>
      </w:pPr>
      <w:r>
        <w:rPr>
          <w:sz w:val="24"/>
          <w:szCs w:val="24"/>
        </w:rPr>
        <w:t xml:space="preserve"> VI -  certidões negativas de </w:t>
      </w:r>
      <w:proofErr w:type="spellStart"/>
      <w:r>
        <w:rPr>
          <w:sz w:val="24"/>
          <w:szCs w:val="24"/>
        </w:rPr>
        <w:t>débitos</w:t>
      </w:r>
      <w:proofErr w:type="spellEnd"/>
      <w:r>
        <w:rPr>
          <w:sz w:val="24"/>
          <w:szCs w:val="24"/>
        </w:rPr>
        <w:t xml:space="preserve"> relativas ao créditos tributários municipais;</w:t>
      </w:r>
    </w:p>
    <w:p w14:paraId="58753036" w14:textId="77777777" w:rsidR="0084325E" w:rsidRDefault="00000000">
      <w:pPr>
        <w:spacing w:before="120" w:after="120" w:line="240" w:lineRule="auto"/>
        <w:ind w:right="120"/>
        <w:jc w:val="both"/>
        <w:rPr>
          <w:sz w:val="24"/>
          <w:szCs w:val="24"/>
        </w:rPr>
      </w:pPr>
      <w:r>
        <w:rPr>
          <w:sz w:val="24"/>
          <w:szCs w:val="24"/>
        </w:rPr>
        <w:t>(</w:t>
      </w:r>
      <w:hyperlink r:id="rId24">
        <w:r>
          <w:rPr>
            <w:color w:val="1155CC"/>
            <w:sz w:val="24"/>
            <w:szCs w:val="24"/>
            <w:u w:val="single"/>
          </w:rPr>
          <w:t>https://mariluz.eloweb.net/portal-contribuinte/emissao-certidoes</w:t>
        </w:r>
      </w:hyperlink>
      <w:r>
        <w:rPr>
          <w:sz w:val="24"/>
          <w:szCs w:val="24"/>
        </w:rPr>
        <w:t>)</w:t>
      </w:r>
    </w:p>
    <w:p w14:paraId="22C76D99" w14:textId="77777777" w:rsidR="0084325E" w:rsidRDefault="00000000">
      <w:pPr>
        <w:spacing w:before="120" w:after="120" w:line="240" w:lineRule="auto"/>
        <w:ind w:right="120"/>
        <w:jc w:val="both"/>
        <w:rPr>
          <w:sz w:val="24"/>
          <w:szCs w:val="24"/>
        </w:rPr>
      </w:pPr>
      <w:r>
        <w:rPr>
          <w:sz w:val="24"/>
          <w:szCs w:val="24"/>
        </w:rPr>
        <w:t>VII - certificado de regularidade do Fundo de Garantia do Tempo de Serviço - CRF/FGTS;</w:t>
      </w:r>
    </w:p>
    <w:p w14:paraId="57C44239" w14:textId="77777777" w:rsidR="0084325E" w:rsidRDefault="00000000">
      <w:pPr>
        <w:spacing w:before="120" w:after="120" w:line="240" w:lineRule="auto"/>
        <w:ind w:right="120"/>
        <w:jc w:val="both"/>
        <w:rPr>
          <w:sz w:val="24"/>
          <w:szCs w:val="24"/>
        </w:rPr>
      </w:pPr>
      <w:r>
        <w:rPr>
          <w:sz w:val="24"/>
          <w:szCs w:val="24"/>
        </w:rPr>
        <w:t>(</w:t>
      </w:r>
      <w:hyperlink r:id="rId25">
        <w:r>
          <w:rPr>
            <w:color w:val="1155CC"/>
            <w:sz w:val="24"/>
            <w:szCs w:val="24"/>
            <w:u w:val="single"/>
          </w:rPr>
          <w:t>https://consulta-crf.caixa.gov.br/consultacrf/pages/consultaEmpregador.js</w:t>
        </w:r>
      </w:hyperlink>
      <w:r>
        <w:rPr>
          <w:sz w:val="24"/>
          <w:szCs w:val="24"/>
        </w:rPr>
        <w:t>)</w:t>
      </w:r>
    </w:p>
    <w:p w14:paraId="1F2D7507" w14:textId="77777777" w:rsidR="0084325E" w:rsidRDefault="00000000">
      <w:pPr>
        <w:spacing w:before="120" w:after="120" w:line="240" w:lineRule="auto"/>
        <w:ind w:right="120"/>
        <w:jc w:val="both"/>
        <w:rPr>
          <w:sz w:val="24"/>
          <w:szCs w:val="24"/>
        </w:rPr>
      </w:pPr>
      <w:r>
        <w:rPr>
          <w:sz w:val="24"/>
          <w:szCs w:val="24"/>
        </w:rPr>
        <w:t xml:space="preserve">VIII - </w:t>
      </w:r>
      <w:proofErr w:type="spellStart"/>
      <w:r>
        <w:rPr>
          <w:sz w:val="24"/>
          <w:szCs w:val="24"/>
        </w:rPr>
        <w:t>certidão</w:t>
      </w:r>
      <w:proofErr w:type="spellEnd"/>
      <w:r>
        <w:rPr>
          <w:sz w:val="24"/>
          <w:szCs w:val="24"/>
        </w:rPr>
        <w:t xml:space="preserve"> negativa de </w:t>
      </w:r>
      <w:proofErr w:type="spellStart"/>
      <w:r>
        <w:rPr>
          <w:sz w:val="24"/>
          <w:szCs w:val="24"/>
        </w:rPr>
        <w:t>débitos</w:t>
      </w:r>
      <w:proofErr w:type="spellEnd"/>
      <w:r>
        <w:rPr>
          <w:sz w:val="24"/>
          <w:szCs w:val="24"/>
        </w:rPr>
        <w:t xml:space="preserve"> trabalhistas - CNDT, emitida no site do Tribunal Superior do Trabalho; </w:t>
      </w:r>
    </w:p>
    <w:p w14:paraId="2DEF4BBC" w14:textId="77777777" w:rsidR="0084325E" w:rsidRDefault="00000000">
      <w:pPr>
        <w:spacing w:before="120" w:after="120" w:line="240" w:lineRule="auto"/>
        <w:ind w:right="120"/>
        <w:jc w:val="both"/>
        <w:rPr>
          <w:sz w:val="24"/>
          <w:szCs w:val="24"/>
        </w:rPr>
      </w:pPr>
      <w:r>
        <w:rPr>
          <w:sz w:val="24"/>
          <w:szCs w:val="24"/>
        </w:rPr>
        <w:t>(</w:t>
      </w:r>
      <w:hyperlink r:id="rId26">
        <w:r>
          <w:rPr>
            <w:color w:val="1155CC"/>
            <w:sz w:val="24"/>
            <w:szCs w:val="24"/>
            <w:u w:val="single"/>
          </w:rPr>
          <w:t>https://cndt-certidao.tst.jus.br/inicio.faces</w:t>
        </w:r>
      </w:hyperlink>
      <w:r>
        <w:rPr>
          <w:sz w:val="24"/>
          <w:szCs w:val="24"/>
        </w:rPr>
        <w:t xml:space="preserve">) </w:t>
      </w:r>
    </w:p>
    <w:p w14:paraId="50393BFE" w14:textId="77777777" w:rsidR="0084325E" w:rsidRDefault="00000000">
      <w:pPr>
        <w:spacing w:before="120" w:after="120" w:line="240" w:lineRule="auto"/>
        <w:ind w:right="120"/>
        <w:jc w:val="both"/>
        <w:rPr>
          <w:sz w:val="24"/>
          <w:szCs w:val="24"/>
        </w:rPr>
      </w:pPr>
      <w:r>
        <w:rPr>
          <w:sz w:val="24"/>
          <w:szCs w:val="24"/>
        </w:rPr>
        <w:t>IX - Declaração de substituto do projeto, em caso de motivo de força maior, conforme Anexo VIII; e</w:t>
      </w:r>
    </w:p>
    <w:p w14:paraId="3EBF712A" w14:textId="77777777" w:rsidR="0084325E" w:rsidRDefault="00000000">
      <w:pPr>
        <w:spacing w:before="120" w:after="120" w:line="240" w:lineRule="auto"/>
        <w:ind w:right="120"/>
        <w:jc w:val="both"/>
        <w:rPr>
          <w:sz w:val="24"/>
          <w:szCs w:val="24"/>
        </w:rPr>
      </w:pPr>
      <w:r>
        <w:rPr>
          <w:sz w:val="24"/>
          <w:szCs w:val="24"/>
        </w:rPr>
        <w:t xml:space="preserve">X - dados bancários para depósito em conta corrente </w:t>
      </w:r>
      <w:r>
        <w:rPr>
          <w:b/>
          <w:bCs/>
          <w:sz w:val="24"/>
          <w:szCs w:val="24"/>
        </w:rPr>
        <w:t>exclusiva</w:t>
      </w:r>
      <w:r>
        <w:rPr>
          <w:sz w:val="24"/>
          <w:szCs w:val="24"/>
        </w:rPr>
        <w:t xml:space="preserve"> para o projeto.</w:t>
      </w:r>
    </w:p>
    <w:p w14:paraId="516535B1" w14:textId="77777777" w:rsidR="0084325E" w:rsidRDefault="0084325E">
      <w:pPr>
        <w:spacing w:before="120" w:after="120" w:line="240" w:lineRule="auto"/>
        <w:ind w:right="120"/>
        <w:jc w:val="both"/>
        <w:rPr>
          <w:sz w:val="24"/>
          <w:szCs w:val="24"/>
        </w:rPr>
      </w:pPr>
    </w:p>
    <w:p w14:paraId="32C9B48C" w14:textId="77777777" w:rsidR="0084325E" w:rsidRDefault="0084325E">
      <w:pPr>
        <w:spacing w:before="120" w:after="120" w:line="240" w:lineRule="auto"/>
        <w:ind w:right="120"/>
        <w:jc w:val="both"/>
        <w:rPr>
          <w:sz w:val="24"/>
          <w:szCs w:val="24"/>
        </w:rPr>
      </w:pPr>
    </w:p>
    <w:p w14:paraId="7F203240" w14:textId="77777777" w:rsidR="0084325E" w:rsidRDefault="00000000">
      <w:pPr>
        <w:spacing w:before="120" w:after="120" w:line="240" w:lineRule="auto"/>
        <w:ind w:right="120"/>
        <w:jc w:val="both"/>
        <w:rPr>
          <w:sz w:val="24"/>
          <w:szCs w:val="24"/>
        </w:rPr>
      </w:pPr>
      <w:r>
        <w:rPr>
          <w:b/>
          <w:bCs/>
          <w:sz w:val="24"/>
          <w:szCs w:val="24"/>
        </w:rPr>
        <w:t>Atenção!</w:t>
      </w:r>
      <w:r>
        <w:rPr>
          <w:sz w:val="24"/>
          <w:szCs w:val="24"/>
        </w:rPr>
        <w:t xml:space="preserve">  A comprovação de residência poderá ser dispensada nas hipóteses de agentes culturais:</w:t>
      </w:r>
    </w:p>
    <w:p w14:paraId="1134C7D3" w14:textId="77777777" w:rsidR="0084325E" w:rsidRDefault="00000000">
      <w:pPr>
        <w:spacing w:before="120" w:after="120" w:line="240" w:lineRule="auto"/>
        <w:ind w:right="120"/>
        <w:jc w:val="both"/>
        <w:rPr>
          <w:sz w:val="24"/>
          <w:szCs w:val="24"/>
        </w:rPr>
      </w:pPr>
      <w:r>
        <w:rPr>
          <w:sz w:val="24"/>
          <w:szCs w:val="24"/>
        </w:rPr>
        <w:t>I - pertencentes à comunidade indígena, quilombola, cigana ou circense;</w:t>
      </w:r>
    </w:p>
    <w:p w14:paraId="30E2A5D2" w14:textId="77777777" w:rsidR="0084325E" w:rsidRDefault="00000000">
      <w:pPr>
        <w:spacing w:before="120" w:after="120" w:line="240" w:lineRule="auto"/>
        <w:ind w:right="120"/>
        <w:jc w:val="both"/>
        <w:rPr>
          <w:sz w:val="24"/>
          <w:szCs w:val="24"/>
        </w:rPr>
      </w:pPr>
      <w:r>
        <w:rPr>
          <w:sz w:val="24"/>
          <w:szCs w:val="24"/>
        </w:rPr>
        <w:t>II - pertencentes à população nômade ou itinerante; ou</w:t>
      </w:r>
    </w:p>
    <w:p w14:paraId="02003DAA" w14:textId="77777777" w:rsidR="0084325E" w:rsidRDefault="00000000">
      <w:pPr>
        <w:spacing w:before="120" w:after="120" w:line="240" w:lineRule="auto"/>
        <w:ind w:right="120"/>
        <w:jc w:val="both"/>
        <w:rPr>
          <w:sz w:val="24"/>
          <w:szCs w:val="24"/>
        </w:rPr>
      </w:pPr>
      <w:r>
        <w:rPr>
          <w:sz w:val="24"/>
          <w:szCs w:val="24"/>
        </w:rPr>
        <w:t>III - que se encontrem em situação de rua.</w:t>
      </w:r>
    </w:p>
    <w:p w14:paraId="5E4A4419" w14:textId="77777777" w:rsidR="0084325E" w:rsidRDefault="0084325E">
      <w:pPr>
        <w:spacing w:before="120" w:after="120" w:line="240" w:lineRule="auto"/>
        <w:ind w:left="120" w:right="120"/>
        <w:jc w:val="both"/>
        <w:rPr>
          <w:sz w:val="24"/>
          <w:szCs w:val="24"/>
        </w:rPr>
      </w:pPr>
    </w:p>
    <w:p w14:paraId="62236CC4" w14:textId="77777777" w:rsidR="0084325E" w:rsidRDefault="00000000">
      <w:pPr>
        <w:spacing w:before="120" w:after="120" w:line="240" w:lineRule="auto"/>
        <w:ind w:right="120"/>
        <w:jc w:val="both"/>
        <w:rPr>
          <w:sz w:val="24"/>
          <w:szCs w:val="24"/>
        </w:rPr>
      </w:pPr>
      <w:r>
        <w:rPr>
          <w:sz w:val="24"/>
          <w:szCs w:val="24"/>
        </w:rPr>
        <w:t xml:space="preserve">As certidões positivas com efeito de negativas </w:t>
      </w:r>
      <w:proofErr w:type="spellStart"/>
      <w:r>
        <w:rPr>
          <w:sz w:val="24"/>
          <w:szCs w:val="24"/>
        </w:rPr>
        <w:t>servirão</w:t>
      </w:r>
      <w:proofErr w:type="spellEnd"/>
      <w:r>
        <w:rPr>
          <w:sz w:val="24"/>
          <w:szCs w:val="24"/>
        </w:rPr>
        <w:t xml:space="preserve"> como </w:t>
      </w:r>
      <w:proofErr w:type="spellStart"/>
      <w:r>
        <w:rPr>
          <w:sz w:val="24"/>
          <w:szCs w:val="24"/>
        </w:rPr>
        <w:t>certidões</w:t>
      </w:r>
      <w:proofErr w:type="spellEnd"/>
      <w:r>
        <w:rPr>
          <w:sz w:val="24"/>
          <w:szCs w:val="24"/>
        </w:rPr>
        <w:t xml:space="preserve"> negativas, desde que </w:t>
      </w:r>
      <w:proofErr w:type="spellStart"/>
      <w:r>
        <w:rPr>
          <w:sz w:val="24"/>
          <w:szCs w:val="24"/>
        </w:rPr>
        <w:t>não</w:t>
      </w:r>
      <w:proofErr w:type="spellEnd"/>
      <w:r>
        <w:rPr>
          <w:sz w:val="24"/>
          <w:szCs w:val="24"/>
        </w:rPr>
        <w:t xml:space="preserve"> haja </w:t>
      </w:r>
      <w:proofErr w:type="spellStart"/>
      <w:r>
        <w:rPr>
          <w:sz w:val="24"/>
          <w:szCs w:val="24"/>
        </w:rPr>
        <w:t>referência</w:t>
      </w:r>
      <w:proofErr w:type="spellEnd"/>
      <w:r>
        <w:rPr>
          <w:sz w:val="24"/>
          <w:szCs w:val="24"/>
        </w:rPr>
        <w:t xml:space="preserve"> expressa de impossibilidade de celebrar instrumentos </w:t>
      </w:r>
      <w:proofErr w:type="spellStart"/>
      <w:r>
        <w:rPr>
          <w:sz w:val="24"/>
          <w:szCs w:val="24"/>
        </w:rPr>
        <w:t>jurídicos</w:t>
      </w:r>
      <w:proofErr w:type="spellEnd"/>
      <w:r>
        <w:rPr>
          <w:sz w:val="24"/>
          <w:szCs w:val="24"/>
        </w:rPr>
        <w:t xml:space="preserve"> com a </w:t>
      </w:r>
      <w:proofErr w:type="spellStart"/>
      <w:r>
        <w:rPr>
          <w:sz w:val="24"/>
          <w:szCs w:val="24"/>
        </w:rPr>
        <w:t>administração</w:t>
      </w:r>
      <w:proofErr w:type="spellEnd"/>
      <w:r>
        <w:rPr>
          <w:sz w:val="24"/>
          <w:szCs w:val="24"/>
        </w:rPr>
        <w:t xml:space="preserve"> </w:t>
      </w:r>
      <w:proofErr w:type="spellStart"/>
      <w:r>
        <w:rPr>
          <w:sz w:val="24"/>
          <w:szCs w:val="24"/>
        </w:rPr>
        <w:t>pública</w:t>
      </w:r>
      <w:proofErr w:type="spellEnd"/>
      <w:r>
        <w:rPr>
          <w:sz w:val="24"/>
          <w:szCs w:val="24"/>
        </w:rPr>
        <w:t>.</w:t>
      </w:r>
    </w:p>
    <w:p w14:paraId="04108B73" w14:textId="77777777" w:rsidR="0084325E" w:rsidRDefault="0084325E">
      <w:pPr>
        <w:pBdr>
          <w:top w:val="nil"/>
          <w:left w:val="nil"/>
          <w:bottom w:val="nil"/>
          <w:right w:val="nil"/>
          <w:between w:val="nil"/>
        </w:pBdr>
        <w:spacing w:before="120" w:after="120" w:line="240" w:lineRule="auto"/>
        <w:ind w:right="120"/>
        <w:jc w:val="both"/>
        <w:rPr>
          <w:color w:val="000000"/>
          <w:sz w:val="24"/>
          <w:szCs w:val="24"/>
        </w:rPr>
      </w:pPr>
    </w:p>
    <w:p w14:paraId="09C27201"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lastRenderedPageBreak/>
        <w:t>Recurso da etapa de habilitação</w:t>
      </w:r>
    </w:p>
    <w:p w14:paraId="039C3ED3" w14:textId="7522EEC8"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Contra a decisão da fase de habilitação, caberá recurso destinado à Comissão de Seleção, que deve ser apresentado conforme Anexo V, enviado para o </w:t>
      </w:r>
      <w:r w:rsidR="00792871">
        <w:rPr>
          <w:sz w:val="24"/>
          <w:szCs w:val="24"/>
        </w:rPr>
        <w:t>e-mail</w:t>
      </w:r>
      <w:r>
        <w:rPr>
          <w:sz w:val="24"/>
          <w:szCs w:val="24"/>
        </w:rPr>
        <w:t xml:space="preserve"> </w:t>
      </w:r>
      <w:hyperlink r:id="rId27">
        <w:r>
          <w:rPr>
            <w:color w:val="1155CC"/>
            <w:sz w:val="24"/>
            <w:szCs w:val="24"/>
            <w:u w:val="single"/>
          </w:rPr>
          <w:t>asterproducoesculturais@gmail.com</w:t>
        </w:r>
      </w:hyperlink>
      <w:r>
        <w:rPr>
          <w:sz w:val="24"/>
          <w:szCs w:val="24"/>
        </w:rPr>
        <w:t xml:space="preserve">  no prazo de </w:t>
      </w:r>
      <w:r>
        <w:rPr>
          <w:b/>
          <w:bCs/>
          <w:sz w:val="24"/>
          <w:szCs w:val="24"/>
        </w:rPr>
        <w:t>3 dias corridos</w:t>
      </w:r>
      <w:r>
        <w:rPr>
          <w:sz w:val="24"/>
          <w:szCs w:val="24"/>
        </w:rPr>
        <w:t xml:space="preserve"> a contar da </w:t>
      </w:r>
      <w:proofErr w:type="spellStart"/>
      <w:r>
        <w:rPr>
          <w:sz w:val="24"/>
          <w:szCs w:val="24"/>
        </w:rPr>
        <w:t>publicação</w:t>
      </w:r>
      <w:proofErr w:type="spellEnd"/>
      <w:r>
        <w:rPr>
          <w:sz w:val="24"/>
          <w:szCs w:val="24"/>
        </w:rPr>
        <w:t xml:space="preserve"> do resultado, considerando-se para </w:t>
      </w:r>
      <w:proofErr w:type="spellStart"/>
      <w:r>
        <w:rPr>
          <w:sz w:val="24"/>
          <w:szCs w:val="24"/>
        </w:rPr>
        <w:t>início</w:t>
      </w:r>
      <w:proofErr w:type="spellEnd"/>
      <w:r>
        <w:rPr>
          <w:sz w:val="24"/>
          <w:szCs w:val="24"/>
        </w:rPr>
        <w:t xml:space="preserve"> da contagem o primeiro dia posterior à </w:t>
      </w:r>
      <w:proofErr w:type="spellStart"/>
      <w:r>
        <w:rPr>
          <w:sz w:val="24"/>
          <w:szCs w:val="24"/>
        </w:rPr>
        <w:t>publicação</w:t>
      </w:r>
      <w:proofErr w:type="spellEnd"/>
      <w:r>
        <w:rPr>
          <w:sz w:val="24"/>
          <w:szCs w:val="24"/>
        </w:rPr>
        <w:t>.</w:t>
      </w:r>
    </w:p>
    <w:p w14:paraId="1C22C972"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Os recursos apresentados </w:t>
      </w:r>
      <w:proofErr w:type="spellStart"/>
      <w:r>
        <w:rPr>
          <w:sz w:val="24"/>
          <w:szCs w:val="24"/>
        </w:rPr>
        <w:t>após</w:t>
      </w:r>
      <w:proofErr w:type="spellEnd"/>
      <w:r>
        <w:rPr>
          <w:sz w:val="24"/>
          <w:szCs w:val="24"/>
        </w:rPr>
        <w:t xml:space="preserve"> o prazo </w:t>
      </w:r>
      <w:proofErr w:type="spellStart"/>
      <w:r>
        <w:rPr>
          <w:sz w:val="24"/>
          <w:szCs w:val="24"/>
        </w:rPr>
        <w:t>não</w:t>
      </w:r>
      <w:proofErr w:type="spellEnd"/>
      <w:r>
        <w:rPr>
          <w:sz w:val="24"/>
          <w:szCs w:val="24"/>
        </w:rPr>
        <w:t xml:space="preserve"> </w:t>
      </w:r>
      <w:proofErr w:type="spellStart"/>
      <w:r>
        <w:rPr>
          <w:sz w:val="24"/>
          <w:szCs w:val="24"/>
        </w:rPr>
        <w:t>serão</w:t>
      </w:r>
      <w:proofErr w:type="spellEnd"/>
      <w:r>
        <w:rPr>
          <w:sz w:val="24"/>
          <w:szCs w:val="24"/>
        </w:rPr>
        <w:t xml:space="preserve"> avaliados.</w:t>
      </w:r>
    </w:p>
    <w:p w14:paraId="7D96D501" w14:textId="77777777" w:rsidR="0084325E"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Após o julgamento dos recursos, o resultado final da etapa de habilitação será divulgado no site oficial do Município. </w:t>
      </w:r>
    </w:p>
    <w:p w14:paraId="1E768937" w14:textId="77777777" w:rsidR="0084325E" w:rsidRDefault="0084325E">
      <w:pPr>
        <w:pBdr>
          <w:top w:val="nil"/>
          <w:left w:val="nil"/>
          <w:bottom w:val="nil"/>
          <w:right w:val="nil"/>
          <w:between w:val="nil"/>
        </w:pBdr>
        <w:spacing w:before="120" w:after="120" w:line="240" w:lineRule="auto"/>
        <w:ind w:left="120" w:right="120"/>
        <w:jc w:val="both"/>
        <w:rPr>
          <w:color w:val="000000"/>
          <w:sz w:val="24"/>
          <w:szCs w:val="24"/>
        </w:rPr>
      </w:pPr>
    </w:p>
    <w:p w14:paraId="447AD494" w14:textId="77777777" w:rsidR="0084325E" w:rsidRDefault="00000000">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ASSINATURA DO TERMO DE EXECUÇÃO CULTURAL E RECEBIMENTO DOS RECURSOS FINANCEIROS</w:t>
      </w:r>
    </w:p>
    <w:p w14:paraId="373A0430" w14:textId="77777777" w:rsidR="0084325E" w:rsidRDefault="00000000">
      <w:pPr>
        <w:numPr>
          <w:ilvl w:val="1"/>
          <w:numId w:val="1"/>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Termo de Execução Cultural</w:t>
      </w:r>
      <w:r>
        <w:rPr>
          <w:color w:val="000000"/>
          <w:sz w:val="24"/>
          <w:szCs w:val="24"/>
        </w:rPr>
        <w:t xml:space="preserve"> </w:t>
      </w:r>
    </w:p>
    <w:p w14:paraId="47BF77C9"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Finalizada a fase de habilitação, o agente cultural contemplado será convocado a assinar o Termo de Execução Cultural, conforme Anexo IV deste Edital, de forma presencial ou eletrônica.</w:t>
      </w:r>
    </w:p>
    <w:p w14:paraId="17632566"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Termo de Execução Cultural corresponde ao documento a ser assinado pelo agente cultural selecionado neste Edital e pela Prefeitura Municipal de Mariluz – PR, contendo as obrigações dos assinantes do Termo.</w:t>
      </w:r>
    </w:p>
    <w:p w14:paraId="519E898E" w14:textId="77777777" w:rsidR="0084325E" w:rsidRDefault="0084325E">
      <w:pPr>
        <w:pBdr>
          <w:top w:val="nil"/>
          <w:left w:val="nil"/>
          <w:bottom w:val="nil"/>
          <w:right w:val="nil"/>
          <w:between w:val="nil"/>
        </w:pBdr>
        <w:spacing w:before="120" w:after="120" w:line="240" w:lineRule="auto"/>
        <w:ind w:left="120" w:right="120"/>
        <w:jc w:val="both"/>
        <w:rPr>
          <w:color w:val="000000"/>
          <w:sz w:val="24"/>
          <w:szCs w:val="24"/>
        </w:rPr>
      </w:pPr>
    </w:p>
    <w:p w14:paraId="4A0FDBB6"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Recebimento dos recursos</w:t>
      </w:r>
      <w:r>
        <w:rPr>
          <w:color w:val="000000"/>
          <w:sz w:val="24"/>
          <w:szCs w:val="24"/>
        </w:rPr>
        <w:t xml:space="preserve"> </w:t>
      </w:r>
      <w:r>
        <w:rPr>
          <w:b/>
          <w:bCs/>
          <w:color w:val="000000"/>
          <w:sz w:val="24"/>
          <w:szCs w:val="24"/>
        </w:rPr>
        <w:t>financeiros</w:t>
      </w:r>
    </w:p>
    <w:p w14:paraId="5D6CA7C3" w14:textId="77777777" w:rsidR="0084325E" w:rsidRDefault="00000000">
      <w:pPr>
        <w:spacing w:before="120" w:after="120" w:line="240" w:lineRule="auto"/>
        <w:ind w:left="120" w:right="120"/>
        <w:jc w:val="both"/>
        <w:rPr>
          <w:color w:val="000000"/>
          <w:sz w:val="24"/>
          <w:szCs w:val="24"/>
        </w:rPr>
      </w:pPr>
      <w:r>
        <w:rPr>
          <w:sz w:val="24"/>
          <w:szCs w:val="24"/>
        </w:rPr>
        <w:t>Após a assinatura do Termo de Execução Cultural, o agente cultural receberá os recursos em conta bancária específica aberta para o recebimento dos recursos deste Edital em até 30 dias após a homologação do resultado final, em conta bancária informada previamente pelo proponente.</w:t>
      </w:r>
    </w:p>
    <w:p w14:paraId="2C6CCB18"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Atenção!</w:t>
      </w:r>
      <w:r>
        <w:rPr>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64B816BB"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 xml:space="preserve">Atenção! </w:t>
      </w:r>
      <w:r>
        <w:rPr>
          <w:color w:val="000000"/>
          <w:sz w:val="24"/>
          <w:szCs w:val="24"/>
        </w:rPr>
        <w:t>O agente cultural deverá assinar o Termo de Execução Cultural no prazo de até</w:t>
      </w:r>
      <w:r>
        <w:rPr>
          <w:b/>
          <w:bCs/>
          <w:color w:val="000000"/>
          <w:sz w:val="24"/>
          <w:szCs w:val="24"/>
        </w:rPr>
        <w:t xml:space="preserve"> 03 dias</w:t>
      </w:r>
      <w:r>
        <w:rPr>
          <w:b/>
          <w:bCs/>
          <w:sz w:val="24"/>
          <w:szCs w:val="24"/>
        </w:rPr>
        <w:t xml:space="preserve"> corridos</w:t>
      </w:r>
      <w:r>
        <w:rPr>
          <w:color w:val="000000"/>
          <w:sz w:val="24"/>
          <w:szCs w:val="24"/>
        </w:rPr>
        <w:t>, contados a partir da convocação, sob pena de perda do direito ao apoio financeiro, sendo convocado o suplente para assumir sua vaga. </w:t>
      </w:r>
    </w:p>
    <w:p w14:paraId="054CFAEC" w14:textId="77777777" w:rsidR="0084325E" w:rsidRDefault="0084325E">
      <w:pPr>
        <w:pBdr>
          <w:top w:val="nil"/>
          <w:left w:val="nil"/>
          <w:bottom w:val="nil"/>
          <w:right w:val="nil"/>
          <w:between w:val="nil"/>
        </w:pBdr>
        <w:spacing w:before="120" w:after="120" w:line="240" w:lineRule="auto"/>
        <w:ind w:right="120"/>
        <w:jc w:val="both"/>
        <w:rPr>
          <w:sz w:val="24"/>
          <w:szCs w:val="24"/>
        </w:rPr>
      </w:pPr>
    </w:p>
    <w:p w14:paraId="7542F44A" w14:textId="77777777" w:rsidR="0084325E" w:rsidRDefault="00000000">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DIVULGAÇÃO DOS PROJETOS</w:t>
      </w:r>
    </w:p>
    <w:p w14:paraId="24A2C2CE"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Os produtos artístico-culturais e as peças de divulgação dos projetos exibirão as marcas do Governo Federal e do Município de Mariluz – PR (Prefeitura Municipal de Mariluz e Departamento Municipal de Cultura), de acordo com as orientações técnicas do manual de aplicação de marcas divulgado pelo Ministério da Cultura, observando as vedações existentes na Lei nº 9.504/1997 (Lei das Eleições) nos três meses que antecedem as eleições.</w:t>
      </w:r>
    </w:p>
    <w:p w14:paraId="13181F7F"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lastRenderedPageBreak/>
        <w:t>O material de divulgação dos projetos e seus produtos será disponibilizado em formatos acessíveis a pessoas com deficiência e conterá informações sobre os recursos de acessibilidade disponibilizados.</w:t>
      </w:r>
    </w:p>
    <w:p w14:paraId="1F7D09A1"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1AE72BB3"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w:t>
      </w:r>
    </w:p>
    <w:p w14:paraId="31842D12" w14:textId="77777777" w:rsidR="0084325E" w:rsidRDefault="00000000">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MONITORAMENTO E AVALIAÇÃO DE RESULTADOS </w:t>
      </w:r>
    </w:p>
    <w:p w14:paraId="36C1EA79" w14:textId="77777777" w:rsidR="0084325E" w:rsidRDefault="00000000">
      <w:pPr>
        <w:spacing w:before="120" w:after="120" w:line="240" w:lineRule="auto"/>
        <w:ind w:right="120"/>
        <w:jc w:val="both"/>
        <w:rPr>
          <w:b/>
          <w:bCs/>
          <w:color w:val="FF0000"/>
          <w:sz w:val="24"/>
          <w:szCs w:val="24"/>
        </w:rPr>
      </w:pPr>
      <w:r>
        <w:rPr>
          <w:sz w:val="24"/>
          <w:szCs w:val="24"/>
          <w:highlight w:val="white"/>
        </w:rPr>
        <w:t xml:space="preserve">Os procedimentos de monitoramento e avaliação dos projetos culturais contemplados, assim como a </w:t>
      </w:r>
      <w:proofErr w:type="spellStart"/>
      <w:r>
        <w:rPr>
          <w:sz w:val="24"/>
          <w:szCs w:val="24"/>
          <w:highlight w:val="white"/>
        </w:rPr>
        <w:t>prestação</w:t>
      </w:r>
      <w:proofErr w:type="spellEnd"/>
      <w:r>
        <w:rPr>
          <w:sz w:val="24"/>
          <w:szCs w:val="24"/>
          <w:highlight w:val="white"/>
        </w:rPr>
        <w:t xml:space="preserve"> de </w:t>
      </w:r>
      <w:proofErr w:type="spellStart"/>
      <w:r>
        <w:rPr>
          <w:sz w:val="24"/>
          <w:szCs w:val="24"/>
          <w:highlight w:val="white"/>
        </w:rPr>
        <w:t>informação</w:t>
      </w:r>
      <w:proofErr w:type="spellEnd"/>
      <w:r>
        <w:rPr>
          <w:sz w:val="24"/>
          <w:szCs w:val="24"/>
          <w:highlight w:val="white"/>
        </w:rPr>
        <w:t xml:space="preserve"> à </w:t>
      </w:r>
      <w:proofErr w:type="spellStart"/>
      <w:r>
        <w:rPr>
          <w:sz w:val="24"/>
          <w:szCs w:val="24"/>
          <w:highlight w:val="white"/>
        </w:rPr>
        <w:t>administração</w:t>
      </w:r>
      <w:proofErr w:type="spellEnd"/>
      <w:r>
        <w:rPr>
          <w:sz w:val="24"/>
          <w:szCs w:val="24"/>
          <w:highlight w:val="white"/>
        </w:rPr>
        <w:t xml:space="preserve"> </w:t>
      </w:r>
      <w:proofErr w:type="spellStart"/>
      <w:r>
        <w:rPr>
          <w:sz w:val="24"/>
          <w:szCs w:val="24"/>
          <w:highlight w:val="white"/>
        </w:rPr>
        <w:t>pública</w:t>
      </w:r>
      <w:proofErr w:type="spellEnd"/>
      <w:r>
        <w:rPr>
          <w:sz w:val="24"/>
          <w:szCs w:val="24"/>
          <w:highlight w:val="white"/>
        </w:rPr>
        <w:t xml:space="preserve">, observarão a Lei nº 14.903/2024 e o Decreto nº 11.453/2023 que dispõem sobre os mecanismos de fomento do sistema de financiamento à cultura, observadas </w:t>
      </w:r>
      <w:proofErr w:type="spellStart"/>
      <w:r>
        <w:rPr>
          <w:sz w:val="24"/>
          <w:szCs w:val="24"/>
          <w:highlight w:val="white"/>
        </w:rPr>
        <w:t>às</w:t>
      </w:r>
      <w:proofErr w:type="spellEnd"/>
      <w:r>
        <w:rPr>
          <w:sz w:val="24"/>
          <w:szCs w:val="24"/>
          <w:highlight w:val="white"/>
        </w:rPr>
        <w:t xml:space="preserve"> </w:t>
      </w:r>
      <w:proofErr w:type="spellStart"/>
      <w:r>
        <w:rPr>
          <w:sz w:val="24"/>
          <w:szCs w:val="24"/>
          <w:highlight w:val="white"/>
        </w:rPr>
        <w:t>exigências</w:t>
      </w:r>
      <w:proofErr w:type="spellEnd"/>
      <w:r>
        <w:rPr>
          <w:sz w:val="24"/>
          <w:szCs w:val="24"/>
          <w:highlight w:val="white"/>
        </w:rPr>
        <w:t xml:space="preserve"> legais de simplificação e de foco no cumprimento do objeto. </w:t>
      </w:r>
    </w:p>
    <w:p w14:paraId="484D031E" w14:textId="77777777" w:rsidR="0084325E" w:rsidRDefault="00000000">
      <w:pPr>
        <w:spacing w:before="120" w:after="120" w:line="240" w:lineRule="auto"/>
        <w:ind w:right="120"/>
        <w:jc w:val="both"/>
        <w:rPr>
          <w:sz w:val="24"/>
          <w:szCs w:val="24"/>
        </w:rPr>
      </w:pPr>
      <w:r>
        <w:rPr>
          <w:sz w:val="24"/>
          <w:szCs w:val="24"/>
        </w:rPr>
        <w:t xml:space="preserve">O agente cultural deve prestar contas por meio da apresentação do Relatório de Objeto da Execução Cultural, conforme documento constante no Anexo VIII deste edital. </w:t>
      </w:r>
    </w:p>
    <w:p w14:paraId="4D7D6399" w14:textId="77777777" w:rsidR="0084325E" w:rsidRDefault="00000000">
      <w:pPr>
        <w:spacing w:before="120" w:after="120" w:line="240" w:lineRule="auto"/>
        <w:ind w:right="120"/>
        <w:jc w:val="both"/>
        <w:rPr>
          <w:sz w:val="24"/>
          <w:szCs w:val="24"/>
        </w:rPr>
      </w:pPr>
      <w:r>
        <w:rPr>
          <w:sz w:val="24"/>
          <w:szCs w:val="24"/>
        </w:rPr>
        <w:t>O Relatório de Objeto da Execução Cultural deve ser apresentado em até 30 dias após o final do prazo de execução.</w:t>
      </w:r>
    </w:p>
    <w:p w14:paraId="5E62CC48" w14:textId="77777777" w:rsidR="0084325E" w:rsidRDefault="00000000">
      <w:pPr>
        <w:spacing w:before="120" w:after="120" w:line="240" w:lineRule="auto"/>
        <w:ind w:right="120"/>
        <w:jc w:val="both"/>
        <w:rPr>
          <w:b/>
          <w:bCs/>
          <w:sz w:val="24"/>
          <w:szCs w:val="24"/>
        </w:rPr>
      </w:pPr>
      <w:r>
        <w:rPr>
          <w:b/>
          <w:bCs/>
          <w:sz w:val="24"/>
          <w:szCs w:val="24"/>
        </w:rPr>
        <w:t>A administração se reserva ao direito de solicitar relatórios parciais durante a execução do projeto, a fim de acompanhar o bom funcionamento do processo.</w:t>
      </w:r>
    </w:p>
    <w:p w14:paraId="0F43CEFC" w14:textId="77777777" w:rsidR="0084325E" w:rsidRDefault="00000000">
      <w:pPr>
        <w:spacing w:before="120" w:after="120" w:line="240" w:lineRule="auto"/>
        <w:ind w:right="120"/>
        <w:jc w:val="both"/>
        <w:rPr>
          <w:sz w:val="24"/>
          <w:szCs w:val="24"/>
        </w:rPr>
      </w:pPr>
      <w:r>
        <w:rPr>
          <w:sz w:val="24"/>
          <w:szCs w:val="24"/>
        </w:rPr>
        <w:t>O Relatório Financeiro da Execução Cultural será exigido somente nas seguintes hipóteses:</w:t>
      </w:r>
    </w:p>
    <w:p w14:paraId="37685172" w14:textId="77777777" w:rsidR="0084325E" w:rsidRDefault="00000000">
      <w:pPr>
        <w:spacing w:before="120" w:after="120" w:line="240" w:lineRule="auto"/>
        <w:ind w:right="120"/>
        <w:jc w:val="both"/>
        <w:rPr>
          <w:sz w:val="24"/>
          <w:szCs w:val="24"/>
        </w:rPr>
      </w:pPr>
      <w:r>
        <w:rPr>
          <w:sz w:val="24"/>
          <w:szCs w:val="24"/>
        </w:rPr>
        <w:t>I - quando não estiver comprovado o cumprimento do objeto por meio da apresentação do Relatório Final de Execução do Objeto; ou</w:t>
      </w:r>
    </w:p>
    <w:p w14:paraId="38094939" w14:textId="77777777" w:rsidR="0084325E" w:rsidRDefault="00000000">
      <w:pPr>
        <w:spacing w:before="120" w:after="120" w:line="240" w:lineRule="auto"/>
        <w:ind w:right="120"/>
        <w:jc w:val="both"/>
        <w:rPr>
          <w:sz w:val="24"/>
          <w:szCs w:val="24"/>
        </w:rPr>
      </w:pPr>
      <w:r>
        <w:rPr>
          <w:sz w:val="24"/>
          <w:szCs w:val="24"/>
        </w:rPr>
        <w:t>II - quando for recebida, pela administração pública, denúncia de irregularidade na execução da ação cultural, mediante juízo de admissibilidade que avaliará os elementos fáticos apresentados.</w:t>
      </w:r>
    </w:p>
    <w:p w14:paraId="574ADC22" w14:textId="77777777" w:rsidR="0084325E"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w:t>
      </w:r>
    </w:p>
    <w:p w14:paraId="6DEBE8AE" w14:textId="77777777" w:rsidR="0084325E" w:rsidRDefault="00000000">
      <w:pPr>
        <w:numPr>
          <w:ilvl w:val="0"/>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DISPOSIÇÕES FINAIS</w:t>
      </w:r>
    </w:p>
    <w:p w14:paraId="0E4A3D5F"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Desclassificação de projetos</w:t>
      </w:r>
    </w:p>
    <w:p w14:paraId="51211730"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projetos que apresentem quaisquer formas de preconceito de origem, raça, etnia, gênero, cor, idade ou outras formas de discriminação serão desclassificados, com fundamento no disposto no </w:t>
      </w:r>
      <w:hyperlink r:id="rId28" w:anchor="art3iv">
        <w:r>
          <w:rPr>
            <w:color w:val="000000"/>
            <w:sz w:val="24"/>
            <w:szCs w:val="24"/>
          </w:rPr>
          <w:t>inciso IV do caput do art. 3º da Constituição Federal,</w:t>
        </w:r>
      </w:hyperlink>
      <w:r>
        <w:rPr>
          <w:color w:val="000000"/>
          <w:sz w:val="24"/>
          <w:szCs w:val="24"/>
        </w:rPr>
        <w:t> garantidos o contraditório e a ampla defesa.</w:t>
      </w:r>
    </w:p>
    <w:p w14:paraId="7D8376AF"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Atenção!</w:t>
      </w:r>
      <w:r>
        <w:rPr>
          <w:color w:val="000000"/>
          <w:sz w:val="24"/>
          <w:szCs w:val="24"/>
        </w:rPr>
        <w:t xml:space="preserve"> Eventuais irregularidades constatadas a qualquer tempo, implicarão na desclassificação do agente cultural. </w:t>
      </w:r>
    </w:p>
    <w:p w14:paraId="376D0725" w14:textId="77777777" w:rsidR="0084325E" w:rsidRDefault="0084325E">
      <w:pPr>
        <w:pBdr>
          <w:top w:val="nil"/>
          <w:left w:val="nil"/>
          <w:bottom w:val="nil"/>
          <w:right w:val="nil"/>
          <w:between w:val="nil"/>
        </w:pBdr>
        <w:spacing w:before="120" w:after="120" w:line="240" w:lineRule="auto"/>
        <w:ind w:left="120" w:right="120"/>
        <w:jc w:val="both"/>
        <w:rPr>
          <w:b/>
          <w:bCs/>
          <w:color w:val="000000"/>
          <w:sz w:val="24"/>
          <w:szCs w:val="24"/>
        </w:rPr>
      </w:pPr>
    </w:p>
    <w:p w14:paraId="6CB7DBBF" w14:textId="77777777" w:rsidR="0084325E" w:rsidRDefault="00000000">
      <w:pPr>
        <w:numPr>
          <w:ilvl w:val="1"/>
          <w:numId w:val="1"/>
        </w:numPr>
        <w:pBdr>
          <w:top w:val="nil"/>
          <w:left w:val="nil"/>
          <w:bottom w:val="nil"/>
          <w:right w:val="nil"/>
          <w:between w:val="nil"/>
        </w:pBdr>
        <w:spacing w:before="120" w:after="120" w:line="240" w:lineRule="auto"/>
        <w:ind w:right="120"/>
        <w:jc w:val="both"/>
        <w:rPr>
          <w:color w:val="000000"/>
          <w:sz w:val="24"/>
          <w:szCs w:val="24"/>
        </w:rPr>
      </w:pPr>
      <w:r>
        <w:rPr>
          <w:b/>
          <w:bCs/>
          <w:color w:val="000000"/>
          <w:sz w:val="24"/>
          <w:szCs w:val="24"/>
        </w:rPr>
        <w:t>Acompanhamento das etapas do edital</w:t>
      </w:r>
    </w:p>
    <w:p w14:paraId="64762F43"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O presente Edital e os seus anexos estão disponíveis no site www.mariluz.pr.gov.br</w:t>
      </w:r>
    </w:p>
    <w:p w14:paraId="2500075E"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acompanhamento de todas as etapas deste Edital e a observância quanto aos prazos são de inteira responsabilidade dos agentes culturais. Para tanto, devem ficar atentos às publicações no site oficial da Prefeitura Municipal de Mariluz e nas mídias sociais oficiais.</w:t>
      </w:r>
    </w:p>
    <w:p w14:paraId="0D275574" w14:textId="77777777" w:rsidR="0084325E" w:rsidRDefault="0084325E">
      <w:pPr>
        <w:pBdr>
          <w:top w:val="nil"/>
          <w:left w:val="nil"/>
          <w:bottom w:val="nil"/>
          <w:right w:val="nil"/>
          <w:between w:val="nil"/>
        </w:pBdr>
        <w:spacing w:before="120" w:after="120" w:line="240" w:lineRule="auto"/>
        <w:ind w:left="120" w:right="120"/>
        <w:jc w:val="both"/>
        <w:rPr>
          <w:color w:val="000000"/>
          <w:sz w:val="24"/>
          <w:szCs w:val="24"/>
        </w:rPr>
      </w:pPr>
    </w:p>
    <w:p w14:paraId="3905EE60"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Informações adicionais</w:t>
      </w:r>
    </w:p>
    <w:p w14:paraId="3396AB4C" w14:textId="77777777" w:rsidR="0084325E" w:rsidRDefault="00000000">
      <w:pPr>
        <w:pBdr>
          <w:top w:val="nil"/>
          <w:left w:val="nil"/>
          <w:bottom w:val="nil"/>
          <w:right w:val="nil"/>
          <w:between w:val="nil"/>
        </w:pBdr>
        <w:spacing w:before="120" w:after="120" w:line="240" w:lineRule="auto"/>
        <w:ind w:right="120"/>
        <w:jc w:val="both"/>
        <w:rPr>
          <w:sz w:val="24"/>
          <w:szCs w:val="24"/>
        </w:rPr>
      </w:pPr>
      <w:r>
        <w:rPr>
          <w:color w:val="000000"/>
          <w:sz w:val="24"/>
          <w:szCs w:val="24"/>
        </w:rPr>
        <w:t>Demais informações podem ser obtidas pelo e-mail </w:t>
      </w:r>
      <w:hyperlink r:id="rId29">
        <w:r>
          <w:rPr>
            <w:color w:val="0000FF"/>
            <w:sz w:val="24"/>
            <w:szCs w:val="24"/>
            <w:u w:val="single"/>
          </w:rPr>
          <w:t>cultura@mariluz.pr.gov.br</w:t>
        </w:r>
      </w:hyperlink>
      <w:r>
        <w:rPr>
          <w:color w:val="000000"/>
          <w:sz w:val="24"/>
          <w:szCs w:val="24"/>
        </w:rPr>
        <w:t xml:space="preserve"> e pelo telefone fixo </w:t>
      </w:r>
      <w:r>
        <w:rPr>
          <w:sz w:val="24"/>
          <w:szCs w:val="24"/>
        </w:rPr>
        <w:t>44 3771-3045.</w:t>
      </w:r>
    </w:p>
    <w:p w14:paraId="363654F5" w14:textId="77777777" w:rsidR="0084325E"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casos omissos ficarão a cargo da </w:t>
      </w:r>
      <w:r>
        <w:rPr>
          <w:sz w:val="24"/>
          <w:szCs w:val="24"/>
        </w:rPr>
        <w:t>Coordenação de Seleção.</w:t>
      </w:r>
    </w:p>
    <w:p w14:paraId="5D660661" w14:textId="77777777" w:rsidR="0084325E" w:rsidRDefault="0084325E">
      <w:pPr>
        <w:pBdr>
          <w:top w:val="nil"/>
          <w:left w:val="nil"/>
          <w:bottom w:val="nil"/>
          <w:right w:val="nil"/>
          <w:between w:val="nil"/>
        </w:pBdr>
        <w:spacing w:before="120" w:after="120" w:line="240" w:lineRule="auto"/>
        <w:ind w:left="120" w:right="120"/>
        <w:jc w:val="both"/>
        <w:rPr>
          <w:color w:val="FF0000"/>
          <w:sz w:val="24"/>
          <w:szCs w:val="24"/>
        </w:rPr>
      </w:pPr>
    </w:p>
    <w:p w14:paraId="2E0FAD1A" w14:textId="77777777" w:rsidR="0084325E" w:rsidRDefault="00000000">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Pr>
          <w:b/>
          <w:bCs/>
          <w:color w:val="000000"/>
          <w:sz w:val="24"/>
          <w:szCs w:val="24"/>
        </w:rPr>
        <w:t>Anexos do edital</w:t>
      </w:r>
    </w:p>
    <w:p w14:paraId="2A708D92" w14:textId="77777777" w:rsidR="0084325E" w:rsidRDefault="00000000">
      <w:pPr>
        <w:pBdr>
          <w:top w:val="nil"/>
          <w:left w:val="nil"/>
          <w:bottom w:val="nil"/>
          <w:right w:val="nil"/>
          <w:between w:val="nil"/>
        </w:pBdr>
        <w:spacing w:before="120" w:after="120" w:line="240" w:lineRule="auto"/>
        <w:ind w:right="120"/>
        <w:jc w:val="both"/>
        <w:rPr>
          <w:sz w:val="24"/>
          <w:szCs w:val="24"/>
        </w:rPr>
      </w:pPr>
      <w:r>
        <w:rPr>
          <w:color w:val="000000"/>
          <w:sz w:val="24"/>
          <w:szCs w:val="24"/>
        </w:rPr>
        <w:t>Compõem este Edital os seguintes anexos: </w:t>
      </w:r>
    </w:p>
    <w:p w14:paraId="3AF3ECB0" w14:textId="77777777" w:rsidR="0084325E" w:rsidRDefault="00000000">
      <w:pPr>
        <w:spacing w:before="120" w:after="120" w:line="240" w:lineRule="auto"/>
        <w:ind w:left="120" w:right="120"/>
        <w:jc w:val="both"/>
        <w:rPr>
          <w:sz w:val="24"/>
          <w:szCs w:val="24"/>
        </w:rPr>
      </w:pPr>
      <w:r>
        <w:rPr>
          <w:sz w:val="24"/>
          <w:szCs w:val="24"/>
        </w:rPr>
        <w:t>Anexo I - Categorias e Critérios de seleção;</w:t>
      </w:r>
    </w:p>
    <w:p w14:paraId="3ACBDCD3" w14:textId="77777777" w:rsidR="0084325E" w:rsidRDefault="00000000">
      <w:pPr>
        <w:spacing w:before="120" w:after="120" w:line="240" w:lineRule="auto"/>
        <w:ind w:left="120" w:right="120"/>
        <w:jc w:val="both"/>
        <w:rPr>
          <w:sz w:val="24"/>
          <w:szCs w:val="24"/>
        </w:rPr>
      </w:pPr>
      <w:r>
        <w:rPr>
          <w:sz w:val="24"/>
          <w:szCs w:val="24"/>
        </w:rPr>
        <w:t>Anexo II - Plano de Trabalho;</w:t>
      </w:r>
    </w:p>
    <w:p w14:paraId="39E37008" w14:textId="77777777" w:rsidR="0084325E" w:rsidRDefault="00000000">
      <w:pPr>
        <w:spacing w:before="120" w:after="120" w:line="240" w:lineRule="auto"/>
        <w:ind w:left="120" w:right="120"/>
        <w:jc w:val="both"/>
        <w:rPr>
          <w:sz w:val="24"/>
          <w:szCs w:val="24"/>
        </w:rPr>
      </w:pPr>
      <w:r>
        <w:rPr>
          <w:sz w:val="24"/>
          <w:szCs w:val="24"/>
        </w:rPr>
        <w:t>Anexo III - Declaração de representação de grupo ou coletivo;</w:t>
      </w:r>
    </w:p>
    <w:p w14:paraId="654DB387" w14:textId="77777777" w:rsidR="0084325E" w:rsidRDefault="00000000">
      <w:pPr>
        <w:spacing w:before="120" w:after="120" w:line="240" w:lineRule="auto"/>
        <w:ind w:left="120" w:right="120"/>
        <w:jc w:val="both"/>
        <w:rPr>
          <w:sz w:val="24"/>
          <w:szCs w:val="24"/>
        </w:rPr>
      </w:pPr>
      <w:r>
        <w:rPr>
          <w:sz w:val="24"/>
          <w:szCs w:val="24"/>
        </w:rPr>
        <w:t>Anexo IV - Formulário de recurso;</w:t>
      </w:r>
    </w:p>
    <w:p w14:paraId="70ED2CF7" w14:textId="77777777" w:rsidR="0084325E" w:rsidRDefault="00000000">
      <w:pPr>
        <w:spacing w:before="120" w:after="120" w:line="240" w:lineRule="auto"/>
        <w:ind w:left="120" w:right="120"/>
        <w:jc w:val="both"/>
        <w:rPr>
          <w:sz w:val="24"/>
          <w:szCs w:val="24"/>
        </w:rPr>
      </w:pPr>
      <w:r>
        <w:rPr>
          <w:sz w:val="24"/>
          <w:szCs w:val="24"/>
        </w:rPr>
        <w:t>Anexo V – Termo de Execução Cultural;</w:t>
      </w:r>
    </w:p>
    <w:p w14:paraId="55E2E149" w14:textId="77777777" w:rsidR="0084325E" w:rsidRDefault="00000000">
      <w:pPr>
        <w:spacing w:before="120" w:after="120" w:line="240" w:lineRule="auto"/>
        <w:ind w:left="120" w:right="120"/>
        <w:jc w:val="both"/>
        <w:rPr>
          <w:sz w:val="24"/>
          <w:szCs w:val="24"/>
        </w:rPr>
      </w:pPr>
      <w:r>
        <w:rPr>
          <w:sz w:val="24"/>
          <w:szCs w:val="24"/>
        </w:rPr>
        <w:t xml:space="preserve">Anexo VI - Declaração de </w:t>
      </w:r>
      <w:proofErr w:type="spellStart"/>
      <w:r>
        <w:rPr>
          <w:sz w:val="24"/>
          <w:szCs w:val="24"/>
        </w:rPr>
        <w:t>Co-Residência</w:t>
      </w:r>
      <w:proofErr w:type="spellEnd"/>
      <w:r>
        <w:rPr>
          <w:sz w:val="24"/>
          <w:szCs w:val="24"/>
        </w:rPr>
        <w:t>;</w:t>
      </w:r>
    </w:p>
    <w:p w14:paraId="7BE99A89" w14:textId="77777777" w:rsidR="0084325E" w:rsidRDefault="00000000">
      <w:pPr>
        <w:spacing w:before="120" w:after="120" w:line="240" w:lineRule="auto"/>
        <w:ind w:left="120" w:right="120"/>
        <w:rPr>
          <w:sz w:val="24"/>
          <w:szCs w:val="24"/>
        </w:rPr>
      </w:pPr>
      <w:r>
        <w:rPr>
          <w:sz w:val="24"/>
          <w:szCs w:val="24"/>
        </w:rPr>
        <w:t>Anexo VII - Relatório de Objeto da Execução Cultural; e</w:t>
      </w:r>
    </w:p>
    <w:p w14:paraId="4BDA84FC" w14:textId="77777777" w:rsidR="0084325E" w:rsidRDefault="00000000">
      <w:pPr>
        <w:spacing w:before="120" w:after="120" w:line="240" w:lineRule="auto"/>
        <w:ind w:left="120" w:right="120"/>
        <w:rPr>
          <w:sz w:val="24"/>
          <w:szCs w:val="24"/>
        </w:rPr>
      </w:pPr>
      <w:r>
        <w:rPr>
          <w:sz w:val="24"/>
          <w:szCs w:val="24"/>
        </w:rPr>
        <w:t>Anexo VIII - Declaração de Substituto.</w:t>
      </w:r>
    </w:p>
    <w:p w14:paraId="192CA445" w14:textId="77777777" w:rsidR="0084325E" w:rsidRDefault="00000000">
      <w:pPr>
        <w:pBdr>
          <w:top w:val="nil"/>
          <w:left w:val="nil"/>
          <w:bottom w:val="nil"/>
          <w:right w:val="nil"/>
          <w:between w:val="nil"/>
        </w:pBdr>
        <w:spacing w:before="120" w:after="120" w:line="240" w:lineRule="auto"/>
        <w:ind w:left="720" w:right="120"/>
        <w:jc w:val="both"/>
        <w:rPr>
          <w:sz w:val="24"/>
          <w:szCs w:val="24"/>
        </w:rPr>
      </w:pPr>
      <w:r>
        <w:rPr>
          <w:noProof/>
        </w:rPr>
        <w:drawing>
          <wp:anchor distT="0" distB="0" distL="0" distR="0" simplePos="0" relativeHeight="251658240" behindDoc="1" locked="0" layoutInCell="1" hidden="0" allowOverlap="1" wp14:anchorId="60A6B40B" wp14:editId="7656070C">
            <wp:simplePos x="0" y="0"/>
            <wp:positionH relativeFrom="column">
              <wp:posOffset>3796665</wp:posOffset>
            </wp:positionH>
            <wp:positionV relativeFrom="paragraph">
              <wp:posOffset>3609975</wp:posOffset>
            </wp:positionV>
            <wp:extent cx="2699385" cy="942975"/>
            <wp:effectExtent l="0" t="0" r="0" b="0"/>
            <wp:wrapNone/>
            <wp:docPr id="1" name="image2.png" descr="Fundo preto com letras brancas"/>
            <wp:cNvGraphicFramePr/>
            <a:graphic xmlns:a="http://schemas.openxmlformats.org/drawingml/2006/main">
              <a:graphicData uri="http://schemas.openxmlformats.org/drawingml/2006/picture">
                <pic:pic xmlns:pic="http://schemas.openxmlformats.org/drawingml/2006/picture">
                  <pic:nvPicPr>
                    <pic:cNvPr id="0" name="image2.png" descr="Fundo preto com letras brancas"/>
                    <pic:cNvPicPr preferRelativeResize="0"/>
                  </pic:nvPicPr>
                  <pic:blipFill>
                    <a:blip r:embed="rId30"/>
                    <a:srcRect l="64307" t="91180"/>
                    <a:stretch>
                      <a:fillRect/>
                    </a:stretch>
                  </pic:blipFill>
                  <pic:spPr>
                    <a:xfrm>
                      <a:off x="0" y="0"/>
                      <a:ext cx="2699385" cy="942975"/>
                    </a:xfrm>
                    <a:prstGeom prst="rect">
                      <a:avLst/>
                    </a:prstGeom>
                    <a:ln/>
                  </pic:spPr>
                </pic:pic>
              </a:graphicData>
            </a:graphic>
          </wp:anchor>
        </w:drawing>
      </w:r>
    </w:p>
    <w:sectPr w:rsidR="0084325E">
      <w:headerReference w:type="default" r:id="rId31"/>
      <w:footerReference w:type="default" r:id="rId32"/>
      <w:pgSz w:w="11906" w:h="16838"/>
      <w:pgMar w:top="1890" w:right="1701" w:bottom="1417" w:left="1701" w:header="62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EBB66" w14:textId="77777777" w:rsidR="00EB2C5B" w:rsidRDefault="00EB2C5B">
      <w:pPr>
        <w:spacing w:after="0" w:line="240" w:lineRule="auto"/>
      </w:pPr>
      <w:r>
        <w:separator/>
      </w:r>
    </w:p>
  </w:endnote>
  <w:endnote w:type="continuationSeparator" w:id="0">
    <w:p w14:paraId="49E9772E" w14:textId="77777777" w:rsidR="00EB2C5B" w:rsidRDefault="00EB2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3CE9202-F4B2-4B48-868C-F329B088D6B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EEC9A4-4848-4A6A-9B97-C03235DF843F}"/>
    <w:embedBold r:id="rId3" w:fontKey="{DA8F2F17-F7A2-49DB-B63A-5B48571A4543}"/>
    <w:embedItalic r:id="rId4" w:fontKey="{027EF7FA-2F4A-4431-A4B2-F76CEC0E2AE9}"/>
  </w:font>
  <w:font w:name="Georgia">
    <w:panose1 w:val="02040502050405020303"/>
    <w:charset w:val="00"/>
    <w:family w:val="roman"/>
    <w:pitch w:val="variable"/>
    <w:sig w:usb0="00000287" w:usb1="00000000" w:usb2="00000000" w:usb3="00000000" w:csb0="0000009F" w:csb1="00000000"/>
    <w:embedItalic r:id="rId5" w:fontKey="{34449D37-FA98-4068-9F06-0AE78F791143}"/>
  </w:font>
  <w:font w:name="Cambria">
    <w:panose1 w:val="02040503050406030204"/>
    <w:charset w:val="00"/>
    <w:family w:val="roman"/>
    <w:pitch w:val="variable"/>
    <w:sig w:usb0="E00006FF" w:usb1="420024FF" w:usb2="02000000" w:usb3="00000000" w:csb0="0000019F" w:csb1="00000000"/>
    <w:embedRegular r:id="rId6" w:fontKey="{BA31FAC8-833A-4ADC-9286-FD9AFADC3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5BB6" w14:textId="77777777" w:rsidR="0084325E" w:rsidRDefault="0084325E">
    <w:pPr>
      <w:pBdr>
        <w:top w:val="nil"/>
        <w:left w:val="nil"/>
        <w:bottom w:val="nil"/>
        <w:right w:val="nil"/>
        <w:between w:val="nil"/>
      </w:pBdr>
      <w:tabs>
        <w:tab w:val="center" w:pos="4252"/>
        <w:tab w:val="right" w:pos="8504"/>
      </w:tabs>
      <w:spacing w:after="0" w:line="240" w:lineRule="auto"/>
      <w:jc w:val="right"/>
      <w:rPr>
        <w:color w:val="000000"/>
      </w:rPr>
    </w:pPr>
  </w:p>
  <w:p w14:paraId="67563972" w14:textId="77777777" w:rsidR="0084325E" w:rsidRDefault="00000000">
    <w:pPr>
      <w:pBdr>
        <w:top w:val="nil"/>
        <w:left w:val="nil"/>
        <w:bottom w:val="nil"/>
        <w:right w:val="nil"/>
        <w:between w:val="nil"/>
      </w:pBdr>
      <w:tabs>
        <w:tab w:val="center" w:pos="4252"/>
        <w:tab w:val="right" w:pos="8504"/>
      </w:tabs>
      <w:spacing w:after="0" w:line="240" w:lineRule="auto"/>
      <w:rPr>
        <w:i/>
        <w:iCs/>
        <w:color w:val="666666"/>
      </w:rPr>
    </w:pPr>
    <w:r>
      <w:rPr>
        <w:i/>
        <w:iCs/>
        <w:color w:val="666666"/>
      </w:rPr>
      <w:t xml:space="preserve">Página </w:t>
    </w:r>
    <w:r>
      <w:rPr>
        <w:i/>
        <w:iCs/>
        <w:color w:val="666666"/>
      </w:rPr>
      <w:fldChar w:fldCharType="begin"/>
    </w:r>
    <w:r>
      <w:rPr>
        <w:i/>
        <w:iCs/>
        <w:color w:val="666666"/>
      </w:rPr>
      <w:instrText>PAGE</w:instrText>
    </w:r>
    <w:r>
      <w:rPr>
        <w:i/>
        <w:iCs/>
        <w:color w:val="666666"/>
      </w:rPr>
      <w:fldChar w:fldCharType="separate"/>
    </w:r>
    <w:r w:rsidR="00441E8D">
      <w:rPr>
        <w:i/>
        <w:iCs/>
        <w:noProof/>
        <w:color w:val="666666"/>
      </w:rPr>
      <w:t>1</w:t>
    </w:r>
    <w:r>
      <w:rPr>
        <w:i/>
        <w:iCs/>
        <w:color w:val="666666"/>
      </w:rPr>
      <w:fldChar w:fldCharType="end"/>
    </w:r>
    <w:r>
      <w:rPr>
        <w:i/>
        <w:iCs/>
        <w:color w:val="666666"/>
      </w:rPr>
      <w:t xml:space="preserve"> de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FAA3B" w14:textId="77777777" w:rsidR="00EB2C5B" w:rsidRDefault="00EB2C5B">
      <w:pPr>
        <w:spacing w:after="0" w:line="240" w:lineRule="auto"/>
      </w:pPr>
      <w:r>
        <w:separator/>
      </w:r>
    </w:p>
  </w:footnote>
  <w:footnote w:type="continuationSeparator" w:id="0">
    <w:p w14:paraId="48EAA20E" w14:textId="77777777" w:rsidR="00EB2C5B" w:rsidRDefault="00EB2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4880" w14:textId="77777777" w:rsidR="0084325E"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2D366AD9" wp14:editId="1BADDF40">
          <wp:simplePos x="0" y="0"/>
          <wp:positionH relativeFrom="column">
            <wp:posOffset>-495297</wp:posOffset>
          </wp:positionH>
          <wp:positionV relativeFrom="paragraph">
            <wp:posOffset>-209548</wp:posOffset>
          </wp:positionV>
          <wp:extent cx="1752600" cy="963513"/>
          <wp:effectExtent l="0" t="0" r="0" b="0"/>
          <wp:wrapNone/>
          <wp:docPr id="2" name="image2.png" descr="Fundo preto com letras brancas"/>
          <wp:cNvGraphicFramePr/>
          <a:graphic xmlns:a="http://schemas.openxmlformats.org/drawingml/2006/main">
            <a:graphicData uri="http://schemas.openxmlformats.org/drawingml/2006/picture">
              <pic:pic xmlns:pic="http://schemas.openxmlformats.org/drawingml/2006/picture">
                <pic:nvPicPr>
                  <pic:cNvPr id="0" name="image2.png" descr="Fundo preto com letras brancas"/>
                  <pic:cNvPicPr preferRelativeResize="0"/>
                </pic:nvPicPr>
                <pic:blipFill>
                  <a:blip r:embed="rId1"/>
                  <a:srcRect r="76931" b="90982"/>
                  <a:stretch>
                    <a:fillRect/>
                  </a:stretch>
                </pic:blipFill>
                <pic:spPr>
                  <a:xfrm>
                    <a:off x="0" y="0"/>
                    <a:ext cx="1752600" cy="96351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85A5A9C" wp14:editId="3D531400">
          <wp:simplePos x="0" y="0"/>
          <wp:positionH relativeFrom="column">
            <wp:posOffset>5167327</wp:posOffset>
          </wp:positionH>
          <wp:positionV relativeFrom="paragraph">
            <wp:posOffset>-212889</wp:posOffset>
          </wp:positionV>
          <wp:extent cx="803082" cy="80308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03082" cy="803082"/>
                  </a:xfrm>
                  <a:prstGeom prst="rect">
                    <a:avLst/>
                  </a:prstGeom>
                  <a:ln/>
                </pic:spPr>
              </pic:pic>
            </a:graphicData>
          </a:graphic>
        </wp:anchor>
      </w:drawing>
    </w:r>
  </w:p>
  <w:p w14:paraId="49250E65" w14:textId="77777777" w:rsidR="0084325E" w:rsidRDefault="0084325E">
    <w:pPr>
      <w:pBdr>
        <w:top w:val="nil"/>
        <w:left w:val="nil"/>
        <w:bottom w:val="nil"/>
        <w:right w:val="nil"/>
        <w:between w:val="nil"/>
      </w:pBdr>
      <w:tabs>
        <w:tab w:val="center" w:pos="4252"/>
        <w:tab w:val="right" w:pos="8504"/>
      </w:tabs>
      <w:spacing w:after="0" w:line="240" w:lineRule="auto"/>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1323C3"/>
    <w:multiLevelType w:val="multilevel"/>
    <w:tmpl w:val="417230DA"/>
    <w:lvl w:ilvl="0">
      <w:start w:val="1"/>
      <w:numFmt w:val="decimal"/>
      <w:lvlText w:val="%1."/>
      <w:lvlJc w:val="left"/>
      <w:pPr>
        <w:ind w:left="720" w:hanging="360"/>
      </w:pPr>
      <w:rPr>
        <w:b/>
        <w:bCs/>
      </w:rPr>
    </w:lvl>
    <w:lvl w:ilvl="1">
      <w:start w:val="1"/>
      <w:numFmt w:val="decimal"/>
      <w:lvlText w:val="%1.%2"/>
      <w:lvlJc w:val="left"/>
      <w:pPr>
        <w:ind w:left="765" w:hanging="405"/>
      </w:pPr>
      <w:rPr>
        <w:b/>
        <w:bCs/>
        <w:color w:val="000000"/>
      </w:rPr>
    </w:lvl>
    <w:lvl w:ilvl="2">
      <w:start w:val="1"/>
      <w:numFmt w:val="decimal"/>
      <w:lvlText w:val="%1.%2.%3"/>
      <w:lvlJc w:val="left"/>
      <w:pPr>
        <w:ind w:left="1080" w:hanging="720"/>
      </w:pPr>
      <w:rPr>
        <w:b/>
        <w:bCs/>
      </w:rPr>
    </w:lvl>
    <w:lvl w:ilvl="3">
      <w:start w:val="1"/>
      <w:numFmt w:val="decimal"/>
      <w:lvlText w:val="%1.%2.%3.%4"/>
      <w:lvlJc w:val="left"/>
      <w:pPr>
        <w:ind w:left="1440" w:hanging="1080"/>
      </w:pPr>
      <w:rPr>
        <w:b/>
        <w:bCs/>
      </w:rPr>
    </w:lvl>
    <w:lvl w:ilvl="4">
      <w:start w:val="1"/>
      <w:numFmt w:val="decimal"/>
      <w:lvlText w:val="%1.%2.%3.%4.%5"/>
      <w:lvlJc w:val="left"/>
      <w:pPr>
        <w:ind w:left="1440" w:hanging="1080"/>
      </w:pPr>
      <w:rPr>
        <w:b/>
        <w:bCs/>
      </w:rPr>
    </w:lvl>
    <w:lvl w:ilvl="5">
      <w:start w:val="1"/>
      <w:numFmt w:val="decimal"/>
      <w:lvlText w:val="%1.%2.%3.%4.%5.%6"/>
      <w:lvlJc w:val="left"/>
      <w:pPr>
        <w:ind w:left="1800" w:hanging="1440"/>
      </w:pPr>
      <w:rPr>
        <w:b/>
        <w:bCs/>
      </w:rPr>
    </w:lvl>
    <w:lvl w:ilvl="6">
      <w:start w:val="1"/>
      <w:numFmt w:val="decimal"/>
      <w:lvlText w:val="%1.%2.%3.%4.%5.%6.%7"/>
      <w:lvlJc w:val="left"/>
      <w:pPr>
        <w:ind w:left="1800" w:hanging="1440"/>
      </w:pPr>
      <w:rPr>
        <w:b/>
        <w:bCs/>
      </w:rPr>
    </w:lvl>
    <w:lvl w:ilvl="7">
      <w:start w:val="1"/>
      <w:numFmt w:val="decimal"/>
      <w:lvlText w:val="%1.%2.%3.%4.%5.%6.%7.%8"/>
      <w:lvlJc w:val="left"/>
      <w:pPr>
        <w:ind w:left="2160" w:hanging="1800"/>
      </w:pPr>
      <w:rPr>
        <w:b/>
        <w:bCs/>
      </w:rPr>
    </w:lvl>
    <w:lvl w:ilvl="8">
      <w:start w:val="1"/>
      <w:numFmt w:val="decimal"/>
      <w:lvlText w:val="%1.%2.%3.%4.%5.%6.%7.%8.%9"/>
      <w:lvlJc w:val="left"/>
      <w:pPr>
        <w:ind w:left="2160" w:hanging="1800"/>
      </w:pPr>
      <w:rPr>
        <w:b/>
        <w:bCs/>
      </w:rPr>
    </w:lvl>
  </w:abstractNum>
  <w:abstractNum w:abstractNumId="1" w15:restartNumberingAfterBreak="0">
    <w:nsid w:val="3FF3118B"/>
    <w:multiLevelType w:val="multilevel"/>
    <w:tmpl w:val="6A582D5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6999351">
    <w:abstractNumId w:val="0"/>
  </w:num>
  <w:num w:numId="2" w16cid:durableId="903225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25E"/>
    <w:rsid w:val="00441E8D"/>
    <w:rsid w:val="00792871"/>
    <w:rsid w:val="0084325E"/>
    <w:rsid w:val="00C101A3"/>
    <w:rsid w:val="00E9301F"/>
    <w:rsid w:val="00EB2C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B2DA"/>
  <w15:docId w15:val="{4EB3F400-1B7F-44B0-9138-9C2240ECE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orms.gle/zP4LmKELoiHTQ7pR9" TargetMode="External"/><Relationship Id="rId18" Type="http://schemas.openxmlformats.org/officeDocument/2006/relationships/hyperlink" Target="https://solucoes.receita.fazenda.gov.br/Servicos/certidaointernet/PF/Emitir" TargetMode="External"/><Relationship Id="rId26" Type="http://schemas.openxmlformats.org/officeDocument/2006/relationships/hyperlink" Target="https://cndt-certidao.tst.jus.br/inicio.faces" TargetMode="External"/><Relationship Id="rId3" Type="http://schemas.openxmlformats.org/officeDocument/2006/relationships/styles" Target="styles.xml"/><Relationship Id="rId21" Type="http://schemas.openxmlformats.org/officeDocument/2006/relationships/hyperlink" Target="https://cndt-certidao.tst.jus.br/inicio.fac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br/cultura/pt-br/acesso-a-informacao/legislacao-e-normativas/instrucao-normativa-minc-no-10-de-28-de-dezembro-de-2023" TargetMode="External"/><Relationship Id="rId17" Type="http://schemas.openxmlformats.org/officeDocument/2006/relationships/hyperlink" Target="https://forms.gle/b3MMWe2BsormHNSq6" TargetMode="External"/><Relationship Id="rId25" Type="http://schemas.openxmlformats.org/officeDocument/2006/relationships/hyperlink" Target="https://consulta-crf.caixa.gov.br/consultacrf/pages/consultaEmpregador.j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terproducoesculturais@gmail.com" TargetMode="External"/><Relationship Id="rId20" Type="http://schemas.openxmlformats.org/officeDocument/2006/relationships/hyperlink" Target="https://mariluz.eloweb.net/portal-contribuinte/emissao-certidoes" TargetMode="External"/><Relationship Id="rId29" Type="http://schemas.openxmlformats.org/officeDocument/2006/relationships/hyperlink" Target="mailto:cultura@mariluz.pr.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23-2026/2023/decreto/D11453.htm" TargetMode="External"/><Relationship Id="rId24" Type="http://schemas.openxmlformats.org/officeDocument/2006/relationships/hyperlink" Target="https://mariluz.eloweb.net/portal-contribuinte/emissao-certidoe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lanalto.gov.br/ccivil_03/_Ato2015-2018/2015/Lei/L13146.htm" TargetMode="External"/><Relationship Id="rId23" Type="http://schemas.openxmlformats.org/officeDocument/2006/relationships/hyperlink" Target="http://www.cdw.fazenda.pr.gov.br/cdw/emissao/certidaoAutomatica" TargetMode="External"/><Relationship Id="rId28" Type="http://schemas.openxmlformats.org/officeDocument/2006/relationships/hyperlink" Target="http://www.planalto.gov.br/ccivil_03/Constituicao/Constituicao.htm" TargetMode="External"/><Relationship Id="rId10" Type="http://schemas.openxmlformats.org/officeDocument/2006/relationships/hyperlink" Target="https://www.planalto.gov.br/ccivil_03/_ato2023-2026/2023/decreto/D11740.htm" TargetMode="External"/><Relationship Id="rId19" Type="http://schemas.openxmlformats.org/officeDocument/2006/relationships/hyperlink" Target="http://www.cdw.fazenda.pr.gov.br/cdw/emissao/certidaoAutomatic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gov.br/en/web/dou/-/lei-n-14.903-de-27-de-junho-de-2024-568649644" TargetMode="External"/><Relationship Id="rId14" Type="http://schemas.openxmlformats.org/officeDocument/2006/relationships/hyperlink" Target="https://www.sic.cultura.pr.gov.br/" TargetMode="External"/><Relationship Id="rId22" Type="http://schemas.openxmlformats.org/officeDocument/2006/relationships/hyperlink" Target="https://solucoes.receita.fazenda.gov.br/Servicos/certidaointernet/PF/Emitir" TargetMode="External"/><Relationship Id="rId27" Type="http://schemas.openxmlformats.org/officeDocument/2006/relationships/hyperlink" Target="mailto:asterproducoesculturais@gmail.com" TargetMode="External"/><Relationship Id="rId30" Type="http://schemas.openxmlformats.org/officeDocument/2006/relationships/image" Target="media/image1.png"/><Relationship Id="rId8" Type="http://schemas.openxmlformats.org/officeDocument/2006/relationships/hyperlink" Target="https://www.planalto.gov.br/ccivil_03/_ato2019-2022/2022/lei/l14399.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S7WKCqkk3uJoAiWTe+WLHjmLNg==">CgMxLjA4AHIhMUlBUEVmVDRFaE9VVmEzQ09uTWhOYV9SYlYxQmREVDNU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3866</Words>
  <Characters>20882</Characters>
  <Application>Microsoft Office Word</Application>
  <DocSecurity>0</DocSecurity>
  <Lines>174</Lines>
  <Paragraphs>49</Paragraphs>
  <ScaleCrop>false</ScaleCrop>
  <Company/>
  <LinksUpToDate>false</LinksUpToDate>
  <CharactersWithSpaces>24699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5</cp:revision>
  <dcterms:created xsi:type="dcterms:W3CDTF">2026-06-09T17:36:00Z</dcterms:created>
  <dcterms:modified xsi:type="dcterms:W3CDTF">2026-06-09T17:53:00Z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